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04A7" w:rsidRPr="001B2791" w:rsidRDefault="00D356F4" w:rsidP="00027F4A">
      <w:pPr>
        <w:pStyle w:val="ToRWGTitle"/>
        <w:spacing w:line="276" w:lineRule="auto"/>
        <w:jc w:val="center"/>
        <w:rPr>
          <w:rFonts w:ascii="Qanelas" w:eastAsiaTheme="minorEastAsia" w:hAnsi="Qanelas" w:cs="EDP Preon Regular"/>
          <w:b/>
          <w:kern w:val="24"/>
          <w:sz w:val="48"/>
          <w:szCs w:val="50"/>
        </w:rPr>
      </w:pPr>
      <w:r w:rsidRPr="001B2791">
        <w:rPr>
          <w:rFonts w:ascii="Qanelas" w:eastAsiaTheme="minorEastAsia" w:hAnsi="Qanelas" w:cs="EDP Preon Regular"/>
          <w:b/>
          <w:kern w:val="24"/>
          <w:sz w:val="48"/>
          <w:szCs w:val="50"/>
        </w:rPr>
        <w:t>TERMS OF REFERENCE</w:t>
      </w:r>
    </w:p>
    <w:p w:rsidR="00627A4B" w:rsidRPr="001B2791" w:rsidRDefault="005100CD" w:rsidP="00027F4A">
      <w:pPr>
        <w:pStyle w:val="ToRWGTitle"/>
        <w:spacing w:after="240" w:line="276" w:lineRule="auto"/>
        <w:jc w:val="center"/>
        <w:rPr>
          <w:rFonts w:ascii="Qanelas" w:hAnsi="Qanelas"/>
          <w:b/>
          <w:sz w:val="48"/>
          <w:szCs w:val="48"/>
        </w:rPr>
      </w:pPr>
      <w:r w:rsidRPr="001B2791">
        <w:rPr>
          <w:rFonts w:ascii="Qanelas" w:hAnsi="Qanelas"/>
          <w:b/>
          <w:sz w:val="48"/>
          <w:szCs w:val="48"/>
        </w:rPr>
        <w:t>C</w:t>
      </w:r>
      <w:r>
        <w:rPr>
          <w:rFonts w:ascii="Qanelas" w:hAnsi="Qanelas"/>
          <w:b/>
          <w:sz w:val="48"/>
          <w:szCs w:val="48"/>
        </w:rPr>
        <w:t>ustomer</w:t>
      </w:r>
      <w:r w:rsidRPr="001B2791">
        <w:rPr>
          <w:rFonts w:ascii="Qanelas" w:hAnsi="Qanelas"/>
          <w:b/>
          <w:sz w:val="48"/>
          <w:szCs w:val="48"/>
        </w:rPr>
        <w:t xml:space="preserve">s </w:t>
      </w:r>
      <w:r w:rsidR="009C51C8" w:rsidRPr="001B2791">
        <w:rPr>
          <w:rFonts w:ascii="Qanelas" w:hAnsi="Qanelas"/>
          <w:b/>
          <w:sz w:val="48"/>
          <w:szCs w:val="48"/>
        </w:rPr>
        <w:t xml:space="preserve">&amp; </w:t>
      </w:r>
      <w:r w:rsidR="008B7908">
        <w:rPr>
          <w:rFonts w:ascii="Qanelas" w:hAnsi="Qanelas"/>
          <w:b/>
          <w:sz w:val="48"/>
          <w:szCs w:val="48"/>
        </w:rPr>
        <w:t xml:space="preserve">Retail </w:t>
      </w:r>
      <w:r>
        <w:rPr>
          <w:rFonts w:ascii="Qanelas" w:hAnsi="Qanelas"/>
          <w:b/>
          <w:sz w:val="48"/>
          <w:szCs w:val="48"/>
        </w:rPr>
        <w:t>Services</w:t>
      </w:r>
      <w:r w:rsidR="00B131E5" w:rsidRPr="001B2791">
        <w:rPr>
          <w:rFonts w:ascii="Qanelas" w:hAnsi="Qanelas"/>
          <w:b/>
          <w:sz w:val="48"/>
          <w:szCs w:val="48"/>
        </w:rPr>
        <w:t xml:space="preserve"> Committee</w:t>
      </w:r>
    </w:p>
    <w:p w:rsidR="006E15D4" w:rsidRPr="001B2791" w:rsidRDefault="006E15D4" w:rsidP="00027F4A">
      <w:pPr>
        <w:pStyle w:val="ToRWGTitle"/>
        <w:spacing w:line="276" w:lineRule="auto"/>
        <w:rPr>
          <w:rFonts w:ascii="Qanelas" w:hAnsi="Qanelas"/>
        </w:rPr>
      </w:pPr>
    </w:p>
    <w:tbl>
      <w:tblPr>
        <w:tblW w:w="0" w:type="auto"/>
        <w:tblLook w:val="01E0" w:firstRow="1" w:lastRow="1" w:firstColumn="1" w:lastColumn="1" w:noHBand="0" w:noVBand="0"/>
      </w:tblPr>
      <w:tblGrid>
        <w:gridCol w:w="5637"/>
        <w:gridCol w:w="4502"/>
      </w:tblGrid>
      <w:tr w:rsidR="001B2791" w:rsidRPr="00A2710D" w:rsidTr="00AF22A9">
        <w:tc>
          <w:tcPr>
            <w:tcW w:w="5637" w:type="dxa"/>
            <w:shd w:val="clear" w:color="auto" w:fill="auto"/>
          </w:tcPr>
          <w:p w:rsidR="006E15D4" w:rsidRPr="001B2791" w:rsidRDefault="00400495" w:rsidP="00027F4A">
            <w:pPr>
              <w:pStyle w:val="ToRChairman"/>
              <w:spacing w:line="276" w:lineRule="auto"/>
              <w:rPr>
                <w:rFonts w:ascii="Qanelas" w:hAnsi="Qanelas"/>
                <w:b/>
              </w:rPr>
            </w:pPr>
            <w:r w:rsidRPr="001B2791">
              <w:rPr>
                <w:rFonts w:ascii="Qanelas" w:hAnsi="Qanelas"/>
                <w:b/>
              </w:rPr>
              <w:t>CHAIR</w:t>
            </w:r>
            <w:r w:rsidR="00DF04A7" w:rsidRPr="001B2791">
              <w:rPr>
                <w:rFonts w:ascii="Qanelas" w:hAnsi="Qanelas"/>
                <w:b/>
              </w:rPr>
              <w:t>:</w:t>
            </w:r>
            <w:r w:rsidR="00BF2269" w:rsidRPr="001B2791">
              <w:rPr>
                <w:rFonts w:ascii="Qanelas" w:hAnsi="Qanelas"/>
                <w:b/>
              </w:rPr>
              <w:t xml:space="preserve"> </w:t>
            </w:r>
            <w:r w:rsidRPr="001B2791">
              <w:rPr>
                <w:rFonts w:ascii="Qanelas" w:hAnsi="Qanelas"/>
                <w:b/>
              </w:rPr>
              <w:tab/>
            </w:r>
            <w:r w:rsidR="00BF2269" w:rsidRPr="001B2791">
              <w:rPr>
                <w:rFonts w:ascii="Qanelas" w:eastAsia="Calibri" w:hAnsi="Qanelas" w:cs="Calibri"/>
                <w:b/>
                <w:spacing w:val="-1"/>
                <w:szCs w:val="22"/>
              </w:rPr>
              <w:t>Antonio COUTINHO (PT)</w:t>
            </w:r>
          </w:p>
          <w:p w:rsidR="0037007E" w:rsidRDefault="0037007E" w:rsidP="00027F4A">
            <w:pPr>
              <w:spacing w:line="276" w:lineRule="auto"/>
              <w:rPr>
                <w:rFonts w:ascii="Qanelas" w:hAnsi="Qanelas"/>
                <w:b/>
              </w:rPr>
            </w:pPr>
          </w:p>
          <w:p w:rsidR="0037541E" w:rsidRPr="001B2791" w:rsidRDefault="0037541E" w:rsidP="00027F4A">
            <w:pPr>
              <w:spacing w:line="276" w:lineRule="auto"/>
              <w:rPr>
                <w:rFonts w:ascii="Qanelas" w:eastAsia="Calibri" w:hAnsi="Qanelas" w:cs="Calibri"/>
                <w:b/>
                <w:spacing w:val="-1"/>
                <w:szCs w:val="22"/>
              </w:rPr>
            </w:pPr>
            <w:r w:rsidRPr="001B2791">
              <w:rPr>
                <w:rFonts w:ascii="Qanelas" w:hAnsi="Qanelas"/>
                <w:b/>
              </w:rPr>
              <w:t>VICE CHAIR:</w:t>
            </w:r>
            <w:r w:rsidRPr="001B2791">
              <w:rPr>
                <w:rFonts w:ascii="Qanelas" w:eastAsia="Calibri" w:hAnsi="Qanelas" w:cs="Calibri"/>
                <w:b/>
                <w:szCs w:val="22"/>
              </w:rPr>
              <w:tab/>
            </w:r>
            <w:r w:rsidRPr="001B2791">
              <w:rPr>
                <w:rFonts w:ascii="Qanelas" w:eastAsia="Calibri" w:hAnsi="Qanelas" w:cs="Calibri"/>
                <w:b/>
                <w:spacing w:val="-1"/>
                <w:szCs w:val="22"/>
              </w:rPr>
              <w:t>Monica IMMOVILLI (IT)</w:t>
            </w:r>
          </w:p>
          <w:p w:rsidR="00BF2269" w:rsidRPr="001B2791" w:rsidRDefault="00BF2269" w:rsidP="00027F4A">
            <w:pPr>
              <w:pStyle w:val="ToRChairman"/>
              <w:spacing w:line="276" w:lineRule="auto"/>
              <w:rPr>
                <w:rFonts w:ascii="Qanelas" w:hAnsi="Qanelas"/>
                <w:b/>
              </w:rPr>
            </w:pPr>
          </w:p>
        </w:tc>
        <w:tc>
          <w:tcPr>
            <w:tcW w:w="4502" w:type="dxa"/>
            <w:shd w:val="clear" w:color="auto" w:fill="auto"/>
          </w:tcPr>
          <w:p w:rsidR="0037541E" w:rsidRPr="00803D75" w:rsidRDefault="0037541E" w:rsidP="00027F4A">
            <w:pPr>
              <w:spacing w:line="276" w:lineRule="auto"/>
              <w:rPr>
                <w:rFonts w:ascii="Qanelas" w:hAnsi="Qanelas"/>
                <w:b/>
                <w:lang w:val="fr-BE"/>
              </w:rPr>
            </w:pPr>
            <w:r w:rsidRPr="00803D75">
              <w:rPr>
                <w:rFonts w:ascii="Qanelas" w:hAnsi="Qanelas"/>
                <w:b/>
                <w:lang w:val="fr-BE"/>
              </w:rPr>
              <w:t xml:space="preserve">SECRETARIAT: </w:t>
            </w:r>
            <w:r w:rsidRPr="00803D75">
              <w:rPr>
                <w:rFonts w:ascii="Qanelas" w:hAnsi="Qanelas"/>
                <w:b/>
                <w:lang w:val="fr-BE"/>
              </w:rPr>
              <w:tab/>
              <w:t>Charlotte RENAUD</w:t>
            </w:r>
            <w:r w:rsidR="00FE15F1" w:rsidRPr="00803D75">
              <w:rPr>
                <w:rFonts w:ascii="Qanelas" w:hAnsi="Qanelas"/>
                <w:b/>
                <w:lang w:val="fr-BE"/>
              </w:rPr>
              <w:t xml:space="preserve"> </w:t>
            </w:r>
            <w:r w:rsidR="008F3077" w:rsidRPr="00803D75">
              <w:rPr>
                <w:rFonts w:ascii="Qanelas" w:hAnsi="Qanelas"/>
                <w:b/>
                <w:lang w:val="fr-BE"/>
              </w:rPr>
              <w:t>/</w:t>
            </w:r>
            <w:r w:rsidR="00FE15F1" w:rsidRPr="00803D75">
              <w:rPr>
                <w:rFonts w:ascii="Qanelas" w:hAnsi="Qanelas"/>
                <w:b/>
                <w:lang w:val="fr-BE"/>
              </w:rPr>
              <w:t xml:space="preserve"> </w:t>
            </w:r>
            <w:r w:rsidR="008F3077" w:rsidRPr="00803D75">
              <w:rPr>
                <w:rFonts w:ascii="Qanelas" w:hAnsi="Qanelas"/>
                <w:b/>
                <w:lang w:val="fr-BE"/>
              </w:rPr>
              <w:t>Sébastien DOLIG</w:t>
            </w:r>
            <w:r w:rsidR="008F3077" w:rsidRPr="00A2710D">
              <w:rPr>
                <w:rFonts w:ascii="Qanelas" w:hAnsi="Qanelas"/>
                <w:b/>
                <w:lang w:val="fr-BE"/>
              </w:rPr>
              <w:t>É</w:t>
            </w:r>
          </w:p>
        </w:tc>
      </w:tr>
    </w:tbl>
    <w:p w:rsidR="006E15D4" w:rsidRPr="00803D75" w:rsidRDefault="006E15D4" w:rsidP="00027F4A">
      <w:pPr>
        <w:spacing w:line="276" w:lineRule="auto"/>
        <w:rPr>
          <w:rFonts w:ascii="Calibri" w:hAnsi="Calibri"/>
          <w:lang w:val="fr-BE"/>
        </w:rPr>
      </w:pPr>
    </w:p>
    <w:p w:rsidR="009C51C8" w:rsidRPr="00385DD4" w:rsidRDefault="009C51C8" w:rsidP="00027F4A">
      <w:pPr>
        <w:spacing w:line="276" w:lineRule="auto"/>
        <w:outlineLvl w:val="0"/>
        <w:rPr>
          <w:rFonts w:asciiTheme="minorHAnsi" w:eastAsiaTheme="minorEastAsia" w:hAnsi="Calibri" w:cs="EDP Preon Regular"/>
          <w:b/>
          <w:color w:val="2C63FF"/>
          <w:kern w:val="24"/>
          <w:sz w:val="24"/>
          <w:szCs w:val="50"/>
        </w:rPr>
      </w:pPr>
      <w:r w:rsidRPr="00385DD4">
        <w:rPr>
          <w:rFonts w:asciiTheme="minorHAnsi" w:eastAsiaTheme="minorEastAsia" w:hAnsi="Calibri" w:cs="EDP Preon Regular"/>
          <w:b/>
          <w:color w:val="2C63FF"/>
          <w:kern w:val="24"/>
          <w:sz w:val="24"/>
          <w:szCs w:val="50"/>
        </w:rPr>
        <w:t>Group Rationale</w:t>
      </w:r>
    </w:p>
    <w:p w:rsidR="00361AF7" w:rsidRPr="00361AF7" w:rsidRDefault="00361AF7" w:rsidP="00027F4A">
      <w:pPr>
        <w:spacing w:line="276" w:lineRule="auto"/>
        <w:outlineLvl w:val="0"/>
        <w:rPr>
          <w:rFonts w:ascii="Calibri" w:hAnsi="Calibri"/>
          <w:color w:val="595959" w:themeColor="text1" w:themeTint="A6"/>
          <w:sz w:val="4"/>
          <w:szCs w:val="4"/>
        </w:rPr>
      </w:pPr>
    </w:p>
    <w:p w:rsidR="004C294B" w:rsidRPr="00C731F1" w:rsidRDefault="00B131E5" w:rsidP="00027F4A">
      <w:pPr>
        <w:spacing w:line="276" w:lineRule="auto"/>
        <w:outlineLvl w:val="0"/>
        <w:rPr>
          <w:rFonts w:ascii="Calibri" w:hAnsi="Calibri"/>
        </w:rPr>
      </w:pPr>
      <w:r w:rsidRPr="00C731F1">
        <w:rPr>
          <w:rFonts w:ascii="Calibri" w:hAnsi="Calibri"/>
        </w:rPr>
        <w:t xml:space="preserve">The mission of the </w:t>
      </w:r>
      <w:r w:rsidR="005100CD" w:rsidRPr="00C731F1">
        <w:rPr>
          <w:rFonts w:ascii="Calibri" w:hAnsi="Calibri"/>
        </w:rPr>
        <w:t xml:space="preserve">Customers </w:t>
      </w:r>
      <w:r w:rsidR="009C51C8" w:rsidRPr="00C731F1">
        <w:rPr>
          <w:rFonts w:ascii="Calibri" w:hAnsi="Calibri"/>
        </w:rPr>
        <w:t xml:space="preserve">&amp; </w:t>
      </w:r>
      <w:r w:rsidR="008B7908" w:rsidRPr="00C731F1">
        <w:rPr>
          <w:rFonts w:ascii="Calibri" w:hAnsi="Calibri"/>
        </w:rPr>
        <w:t xml:space="preserve">Retail </w:t>
      </w:r>
      <w:r w:rsidR="005F6691" w:rsidRPr="00C731F1">
        <w:rPr>
          <w:rFonts w:ascii="Calibri" w:hAnsi="Calibri"/>
        </w:rPr>
        <w:t xml:space="preserve">Services </w:t>
      </w:r>
      <w:r w:rsidRPr="00C731F1">
        <w:rPr>
          <w:rFonts w:ascii="Calibri" w:hAnsi="Calibri"/>
        </w:rPr>
        <w:t xml:space="preserve">Committee is </w:t>
      </w:r>
      <w:r w:rsidR="00203F3B" w:rsidRPr="00C731F1">
        <w:rPr>
          <w:rFonts w:ascii="Calibri" w:hAnsi="Calibri"/>
        </w:rPr>
        <w:t xml:space="preserve">to </w:t>
      </w:r>
      <w:r w:rsidR="00F46768" w:rsidRPr="00C731F1">
        <w:rPr>
          <w:rFonts w:ascii="Calibri" w:hAnsi="Calibri"/>
        </w:rPr>
        <w:t xml:space="preserve">advocate for </w:t>
      </w:r>
      <w:r w:rsidR="00203F3B" w:rsidRPr="00C731F1">
        <w:rPr>
          <w:rFonts w:ascii="Calibri" w:hAnsi="Calibri"/>
        </w:rPr>
        <w:t>a vibrant</w:t>
      </w:r>
      <w:r w:rsidR="0079191C" w:rsidRPr="00C731F1">
        <w:rPr>
          <w:rFonts w:ascii="Calibri" w:hAnsi="Calibri"/>
        </w:rPr>
        <w:t>,</w:t>
      </w:r>
      <w:r w:rsidR="00203F3B" w:rsidRPr="00C731F1">
        <w:rPr>
          <w:rFonts w:ascii="Calibri" w:hAnsi="Calibri"/>
        </w:rPr>
        <w:t xml:space="preserve"> sustainable </w:t>
      </w:r>
      <w:r w:rsidR="0079191C" w:rsidRPr="00C731F1">
        <w:rPr>
          <w:rFonts w:ascii="Calibri" w:hAnsi="Calibri"/>
        </w:rPr>
        <w:t xml:space="preserve">and customer-centric </w:t>
      </w:r>
      <w:r w:rsidR="00203F3B" w:rsidRPr="00C731F1">
        <w:rPr>
          <w:rFonts w:ascii="Calibri" w:hAnsi="Calibri"/>
        </w:rPr>
        <w:t xml:space="preserve">retail business within Europe </w:t>
      </w:r>
      <w:r w:rsidR="004C294B" w:rsidRPr="00C731F1">
        <w:rPr>
          <w:rFonts w:ascii="Calibri" w:hAnsi="Calibri"/>
        </w:rPr>
        <w:t xml:space="preserve">through well-functioning </w:t>
      </w:r>
      <w:r w:rsidR="00346010" w:rsidRPr="00C731F1">
        <w:rPr>
          <w:rFonts w:ascii="Calibri" w:hAnsi="Calibri"/>
        </w:rPr>
        <w:t xml:space="preserve">and competitive </w:t>
      </w:r>
      <w:r w:rsidR="004C294B" w:rsidRPr="00C731F1">
        <w:rPr>
          <w:rFonts w:ascii="Calibri" w:hAnsi="Calibri"/>
        </w:rPr>
        <w:t xml:space="preserve">retail markets. </w:t>
      </w:r>
      <w:r w:rsidR="00346010" w:rsidRPr="00C731F1">
        <w:rPr>
          <w:rFonts w:ascii="Calibri" w:hAnsi="Calibri"/>
        </w:rPr>
        <w:t>The Committee promotes the role to be played by suppliers in delivering good customer service</w:t>
      </w:r>
      <w:r w:rsidR="0079191C" w:rsidRPr="00C731F1">
        <w:rPr>
          <w:rFonts w:ascii="Calibri" w:hAnsi="Calibri"/>
        </w:rPr>
        <w:t>, empowering consumer</w:t>
      </w:r>
      <w:r w:rsidR="00803D75" w:rsidRPr="00C731F1">
        <w:rPr>
          <w:rFonts w:ascii="Calibri" w:hAnsi="Calibri"/>
        </w:rPr>
        <w:t>s</w:t>
      </w:r>
      <w:r w:rsidR="0079191C" w:rsidRPr="00C731F1">
        <w:rPr>
          <w:rFonts w:ascii="Calibri" w:hAnsi="Calibri"/>
        </w:rPr>
        <w:t xml:space="preserve"> through innovative services</w:t>
      </w:r>
      <w:r w:rsidR="00346010" w:rsidRPr="00C731F1">
        <w:rPr>
          <w:rFonts w:ascii="Calibri" w:hAnsi="Calibri"/>
        </w:rPr>
        <w:t xml:space="preserve"> and creating value for customers in the energy transition. </w:t>
      </w:r>
    </w:p>
    <w:p w:rsidR="00B74851" w:rsidRPr="00C731F1" w:rsidRDefault="00B74851" w:rsidP="00027F4A">
      <w:pPr>
        <w:spacing w:line="276" w:lineRule="auto"/>
        <w:outlineLvl w:val="0"/>
        <w:rPr>
          <w:b/>
        </w:rPr>
      </w:pPr>
    </w:p>
    <w:p w:rsidR="00A83313" w:rsidRPr="00C731F1" w:rsidRDefault="00A83313" w:rsidP="00A83313">
      <w:pPr>
        <w:spacing w:line="276" w:lineRule="auto"/>
        <w:outlineLvl w:val="0"/>
        <w:rPr>
          <w:rFonts w:ascii="Calibri" w:hAnsi="Calibri"/>
        </w:rPr>
      </w:pPr>
      <w:r w:rsidRPr="00C731F1">
        <w:rPr>
          <w:rFonts w:ascii="Calibri" w:hAnsi="Calibri"/>
        </w:rPr>
        <w:t xml:space="preserve">The main items </w:t>
      </w:r>
      <w:r w:rsidR="005A37DD" w:rsidRPr="00C731F1">
        <w:rPr>
          <w:rFonts w:ascii="Calibri" w:hAnsi="Calibri"/>
        </w:rPr>
        <w:t>under</w:t>
      </w:r>
      <w:r w:rsidRPr="00C731F1">
        <w:rPr>
          <w:rFonts w:ascii="Calibri" w:hAnsi="Calibri"/>
        </w:rPr>
        <w:t xml:space="preserve"> the Committee</w:t>
      </w:r>
      <w:r w:rsidR="005A37DD" w:rsidRPr="00C731F1">
        <w:rPr>
          <w:rFonts w:ascii="Calibri" w:hAnsi="Calibri"/>
        </w:rPr>
        <w:t>’s responsibility</w:t>
      </w:r>
      <w:r w:rsidRPr="00C731F1">
        <w:rPr>
          <w:rFonts w:ascii="Calibri" w:hAnsi="Calibri"/>
        </w:rPr>
        <w:t xml:space="preserve"> include: </w:t>
      </w:r>
    </w:p>
    <w:p w:rsidR="004B2BAE" w:rsidRPr="00C731F1" w:rsidRDefault="0055592C" w:rsidP="004B2BAE">
      <w:pPr>
        <w:pStyle w:val="ListParagraph"/>
        <w:numPr>
          <w:ilvl w:val="1"/>
          <w:numId w:val="18"/>
        </w:numPr>
        <w:spacing w:line="276" w:lineRule="auto"/>
        <w:ind w:left="851"/>
        <w:outlineLvl w:val="0"/>
        <w:rPr>
          <w:rFonts w:asciiTheme="minorHAnsi" w:hAnsiTheme="minorHAnsi" w:cstheme="minorHAnsi"/>
        </w:rPr>
      </w:pPr>
      <w:r w:rsidRPr="00C731F1">
        <w:t xml:space="preserve">Regulatory </w:t>
      </w:r>
      <w:r w:rsidR="00A8141F" w:rsidRPr="00C731F1">
        <w:t xml:space="preserve">and policy </w:t>
      </w:r>
      <w:r w:rsidRPr="00C731F1">
        <w:t xml:space="preserve">trends affecting the design, development and </w:t>
      </w:r>
      <w:r w:rsidR="00FE701B" w:rsidRPr="00C731F1">
        <w:t>functioning</w:t>
      </w:r>
      <w:r w:rsidRPr="00C731F1">
        <w:t xml:space="preserve"> of retail markets, including </w:t>
      </w:r>
      <w:r w:rsidRPr="00C731F1">
        <w:rPr>
          <w:rFonts w:asciiTheme="minorHAnsi" w:hAnsiTheme="minorHAnsi" w:cstheme="minorHAnsi"/>
        </w:rPr>
        <w:t>constraints on marketing and offering mechanisms</w:t>
      </w:r>
    </w:p>
    <w:p w:rsidR="004B2BAE" w:rsidRPr="00C731F1" w:rsidRDefault="004B2BAE" w:rsidP="004B2BAE">
      <w:pPr>
        <w:pStyle w:val="ListParagraph"/>
        <w:numPr>
          <w:ilvl w:val="1"/>
          <w:numId w:val="18"/>
        </w:numPr>
        <w:spacing w:line="276" w:lineRule="auto"/>
        <w:ind w:left="851"/>
        <w:outlineLvl w:val="0"/>
        <w:rPr>
          <w:rFonts w:asciiTheme="minorHAnsi" w:hAnsiTheme="minorHAnsi" w:cstheme="minorHAnsi"/>
        </w:rPr>
      </w:pPr>
      <w:r w:rsidRPr="00C731F1">
        <w:t>Retail market design, including roles and responsibilities for all market actors, market entry barriers and a level playing field between all players, information exchange between system operators and market parties</w:t>
      </w:r>
    </w:p>
    <w:p w:rsidR="0055592C" w:rsidRPr="00C731F1" w:rsidRDefault="0055592C" w:rsidP="00A83313">
      <w:pPr>
        <w:pStyle w:val="ListParagraph"/>
        <w:numPr>
          <w:ilvl w:val="1"/>
          <w:numId w:val="18"/>
        </w:numPr>
        <w:spacing w:line="276" w:lineRule="auto"/>
        <w:ind w:left="851"/>
        <w:outlineLvl w:val="0"/>
      </w:pPr>
      <w:r w:rsidRPr="00C731F1">
        <w:t xml:space="preserve">Retail prices, </w:t>
      </w:r>
      <w:r w:rsidR="00D35D27" w:rsidRPr="00C731F1">
        <w:t xml:space="preserve">level and structure, </w:t>
      </w:r>
      <w:r w:rsidRPr="00C731F1">
        <w:t xml:space="preserve">including impact of taxes and levies in the electricity bill </w:t>
      </w:r>
      <w:r w:rsidR="00D35D27" w:rsidRPr="00C731F1">
        <w:t xml:space="preserve">and </w:t>
      </w:r>
      <w:r w:rsidRPr="00C731F1">
        <w:t>on customers’ investment decisions</w:t>
      </w:r>
    </w:p>
    <w:p w:rsidR="00D35D27" w:rsidRPr="00C731F1" w:rsidRDefault="0055592C" w:rsidP="00D35D27">
      <w:pPr>
        <w:pStyle w:val="ListParagraph"/>
        <w:numPr>
          <w:ilvl w:val="1"/>
          <w:numId w:val="18"/>
        </w:numPr>
        <w:spacing w:line="276" w:lineRule="auto"/>
        <w:ind w:left="851"/>
        <w:outlineLvl w:val="0"/>
      </w:pPr>
      <w:r w:rsidRPr="00C731F1">
        <w:t xml:space="preserve">Downstream energy services </w:t>
      </w:r>
      <w:r w:rsidR="00A83313" w:rsidRPr="00C731F1">
        <w:t xml:space="preserve">and businesses </w:t>
      </w:r>
      <w:r w:rsidR="00145118" w:rsidRPr="00C731F1">
        <w:t xml:space="preserve">– including behind the meter services and equipment servicing - </w:t>
      </w:r>
      <w:r w:rsidRPr="00C731F1">
        <w:t>and the related regulatory challenges</w:t>
      </w:r>
      <w:r w:rsidR="00A83313" w:rsidRPr="00C731F1">
        <w:t xml:space="preserve"> with focus on application and </w:t>
      </w:r>
      <w:r w:rsidR="00FE701B" w:rsidRPr="00C731F1">
        <w:t>commercialisation (</w:t>
      </w:r>
      <w:r w:rsidR="00A83313" w:rsidRPr="00C731F1">
        <w:t xml:space="preserve">such as energy efficiency, distributed technologies, bundled offers, </w:t>
      </w:r>
      <w:r w:rsidR="00FE701B" w:rsidRPr="00C731F1">
        <w:t xml:space="preserve">e-mobility, </w:t>
      </w:r>
      <w:r w:rsidR="00A83313" w:rsidRPr="00C731F1">
        <w:t>etc</w:t>
      </w:r>
      <w:r w:rsidR="00FE701B" w:rsidRPr="00C731F1">
        <w:t>.</w:t>
      </w:r>
      <w:r w:rsidR="00A83313" w:rsidRPr="00C731F1">
        <w:t>)</w:t>
      </w:r>
    </w:p>
    <w:p w:rsidR="00D35D27" w:rsidRPr="00C731F1" w:rsidRDefault="00D35D27" w:rsidP="00D35D27">
      <w:pPr>
        <w:pStyle w:val="ListParagraph"/>
        <w:numPr>
          <w:ilvl w:val="1"/>
          <w:numId w:val="18"/>
        </w:numPr>
        <w:spacing w:line="276" w:lineRule="auto"/>
        <w:ind w:left="851"/>
        <w:outlineLvl w:val="0"/>
      </w:pPr>
      <w:r w:rsidRPr="00C731F1">
        <w:rPr>
          <w:lang w:val="en-US"/>
        </w:rPr>
        <w:t>Other non-energy related downstream services, like insurance products</w:t>
      </w:r>
      <w:r w:rsidR="00803D75" w:rsidRPr="00C731F1">
        <w:rPr>
          <w:lang w:val="en-US"/>
        </w:rPr>
        <w:t xml:space="preserve"> e.g. through bundled offers</w:t>
      </w:r>
    </w:p>
    <w:p w:rsidR="0055592C" w:rsidRPr="00C731F1" w:rsidRDefault="00803D75" w:rsidP="00AD2530">
      <w:pPr>
        <w:pStyle w:val="ListParagraph"/>
        <w:numPr>
          <w:ilvl w:val="1"/>
          <w:numId w:val="18"/>
        </w:numPr>
        <w:spacing w:line="276" w:lineRule="auto"/>
        <w:ind w:left="851"/>
        <w:outlineLvl w:val="0"/>
      </w:pPr>
      <w:r w:rsidRPr="00C731F1">
        <w:t>P</w:t>
      </w:r>
      <w:r w:rsidR="00AD2530" w:rsidRPr="00C731F1">
        <w:t xml:space="preserve">re-sale </w:t>
      </w:r>
      <w:r w:rsidR="00690C40" w:rsidRPr="00C731F1">
        <w:t xml:space="preserve">processes </w:t>
      </w:r>
      <w:r w:rsidR="00AD2530" w:rsidRPr="00C731F1">
        <w:t>(such as marketing and contracting)</w:t>
      </w:r>
      <w:r w:rsidRPr="00C731F1">
        <w:t>, sales channels</w:t>
      </w:r>
      <w:r w:rsidR="00AD2530" w:rsidRPr="00C731F1">
        <w:t xml:space="preserve"> and post-sale processes (billing, customer care, switching and dispute resolution)</w:t>
      </w:r>
    </w:p>
    <w:p w:rsidR="0055592C" w:rsidRPr="00C731F1" w:rsidRDefault="0055592C" w:rsidP="00A83313">
      <w:pPr>
        <w:numPr>
          <w:ilvl w:val="1"/>
          <w:numId w:val="18"/>
        </w:numPr>
        <w:spacing w:line="276" w:lineRule="auto"/>
        <w:ind w:left="851"/>
        <w:rPr>
          <w:rFonts w:asciiTheme="minorHAnsi" w:hAnsiTheme="minorHAnsi" w:cstheme="minorHAnsi"/>
        </w:rPr>
      </w:pPr>
      <w:r w:rsidRPr="00C731F1">
        <w:rPr>
          <w:rFonts w:asciiTheme="minorHAnsi" w:hAnsiTheme="minorHAnsi" w:cstheme="minorHAnsi"/>
        </w:rPr>
        <w:t>Energy poverty</w:t>
      </w:r>
      <w:r w:rsidR="00105C81" w:rsidRPr="00C731F1">
        <w:rPr>
          <w:rFonts w:asciiTheme="minorHAnsi" w:hAnsiTheme="minorHAnsi" w:cstheme="minorHAnsi"/>
        </w:rPr>
        <w:t>,</w:t>
      </w:r>
      <w:r w:rsidRPr="00C731F1">
        <w:rPr>
          <w:rFonts w:asciiTheme="minorHAnsi" w:hAnsiTheme="minorHAnsi" w:cstheme="minorHAnsi"/>
        </w:rPr>
        <w:t xml:space="preserve"> vulnerable c</w:t>
      </w:r>
      <w:r w:rsidR="00EC5A34" w:rsidRPr="00C731F1">
        <w:rPr>
          <w:rFonts w:asciiTheme="minorHAnsi" w:hAnsiTheme="minorHAnsi" w:cstheme="minorHAnsi"/>
        </w:rPr>
        <w:t>ustomers</w:t>
      </w:r>
      <w:r w:rsidR="00DE5519" w:rsidRPr="00C731F1">
        <w:rPr>
          <w:rFonts w:asciiTheme="minorHAnsi" w:hAnsiTheme="minorHAnsi" w:cstheme="minorHAnsi"/>
        </w:rPr>
        <w:t>,</w:t>
      </w:r>
      <w:r w:rsidR="00105C81" w:rsidRPr="00C731F1">
        <w:rPr>
          <w:rFonts w:asciiTheme="minorHAnsi" w:hAnsiTheme="minorHAnsi" w:cstheme="minorHAnsi"/>
        </w:rPr>
        <w:t xml:space="preserve"> credit risk</w:t>
      </w:r>
      <w:r w:rsidR="00DE5519" w:rsidRPr="00C731F1">
        <w:rPr>
          <w:rFonts w:asciiTheme="minorHAnsi" w:hAnsiTheme="minorHAnsi" w:cstheme="minorHAnsi"/>
        </w:rPr>
        <w:t xml:space="preserve"> and disconnection</w:t>
      </w:r>
    </w:p>
    <w:p w:rsidR="0055592C" w:rsidRDefault="0055592C" w:rsidP="0055592C">
      <w:pPr>
        <w:spacing w:line="276" w:lineRule="auto"/>
        <w:outlineLvl w:val="0"/>
        <w:rPr>
          <w:color w:val="404040" w:themeColor="text1" w:themeTint="BF"/>
        </w:rPr>
      </w:pPr>
    </w:p>
    <w:p w:rsidR="00DD03C7" w:rsidRDefault="00DD03C7" w:rsidP="00DD03C7">
      <w:pPr>
        <w:pStyle w:val="ToRWGTitle"/>
        <w:spacing w:after="120"/>
        <w:rPr>
          <w:rFonts w:asciiTheme="minorHAnsi" w:eastAsiaTheme="minorEastAsia" w:hAnsi="Calibri" w:cs="EDP Preon Regular"/>
          <w:b/>
          <w:color w:val="2C63FF"/>
          <w:kern w:val="24"/>
          <w:sz w:val="24"/>
          <w:szCs w:val="50"/>
        </w:rPr>
      </w:pPr>
      <w:r w:rsidRPr="002B277B">
        <w:rPr>
          <w:rFonts w:asciiTheme="minorHAnsi" w:eastAsiaTheme="minorEastAsia" w:hAnsi="Calibri" w:cs="EDP Preon Regular"/>
          <w:b/>
          <w:color w:val="2C63FF"/>
          <w:kern w:val="24"/>
          <w:sz w:val="24"/>
          <w:szCs w:val="50"/>
        </w:rPr>
        <w:t>Committee structure:</w:t>
      </w:r>
    </w:p>
    <w:p w:rsidR="00DD03C7" w:rsidRPr="00C731F1" w:rsidRDefault="00DD03C7" w:rsidP="00DD03C7">
      <w:pPr>
        <w:outlineLvl w:val="0"/>
        <w:rPr>
          <w:rFonts w:asciiTheme="minorHAnsi" w:hAnsiTheme="minorHAnsi"/>
        </w:rPr>
      </w:pPr>
      <w:r w:rsidRPr="00C731F1">
        <w:rPr>
          <w:rFonts w:asciiTheme="minorHAnsi" w:hAnsiTheme="minorHAnsi"/>
        </w:rPr>
        <w:t xml:space="preserve">The Customers &amp; </w:t>
      </w:r>
      <w:r w:rsidR="00CE3C2E" w:rsidRPr="00C731F1">
        <w:rPr>
          <w:rFonts w:asciiTheme="minorHAnsi" w:hAnsiTheme="minorHAnsi"/>
        </w:rPr>
        <w:t>Retail</w:t>
      </w:r>
      <w:r w:rsidRPr="00C731F1">
        <w:rPr>
          <w:rFonts w:asciiTheme="minorHAnsi" w:hAnsiTheme="minorHAnsi"/>
        </w:rPr>
        <w:t xml:space="preserve"> Services Committee delivers products through its working groups which are dedicated to </w:t>
      </w:r>
      <w:r w:rsidR="00DC6081" w:rsidRPr="00C731F1">
        <w:rPr>
          <w:rFonts w:asciiTheme="minorHAnsi" w:hAnsiTheme="minorHAnsi"/>
        </w:rPr>
        <w:t xml:space="preserve">policy, </w:t>
      </w:r>
      <w:r w:rsidR="009F5BD7" w:rsidRPr="00C731F1">
        <w:rPr>
          <w:rFonts w:asciiTheme="minorHAnsi" w:hAnsiTheme="minorHAnsi"/>
        </w:rPr>
        <w:t xml:space="preserve">regulatory, </w:t>
      </w:r>
      <w:r w:rsidRPr="00C731F1">
        <w:rPr>
          <w:rFonts w:asciiTheme="minorHAnsi" w:hAnsiTheme="minorHAnsi"/>
        </w:rPr>
        <w:t>operational and technical issues</w:t>
      </w:r>
      <w:r w:rsidR="0073673E" w:rsidRPr="00C731F1">
        <w:rPr>
          <w:rFonts w:asciiTheme="minorHAnsi" w:hAnsiTheme="minorHAnsi"/>
        </w:rPr>
        <w:t xml:space="preserve">. The WGs </w:t>
      </w:r>
      <w:r w:rsidRPr="00C731F1">
        <w:rPr>
          <w:rFonts w:asciiTheme="minorHAnsi" w:hAnsiTheme="minorHAnsi"/>
        </w:rPr>
        <w:t xml:space="preserve">cover </w:t>
      </w:r>
      <w:r w:rsidR="0073673E" w:rsidRPr="00C731F1">
        <w:rPr>
          <w:rFonts w:asciiTheme="minorHAnsi" w:hAnsiTheme="minorHAnsi"/>
        </w:rPr>
        <w:t xml:space="preserve">the scope of </w:t>
      </w:r>
      <w:r w:rsidRPr="00C731F1">
        <w:rPr>
          <w:rFonts w:asciiTheme="minorHAnsi" w:hAnsiTheme="minorHAnsi"/>
        </w:rPr>
        <w:t xml:space="preserve">the </w:t>
      </w:r>
      <w:r w:rsidR="0073673E" w:rsidRPr="00C731F1">
        <w:rPr>
          <w:rFonts w:asciiTheme="minorHAnsi" w:hAnsiTheme="minorHAnsi"/>
        </w:rPr>
        <w:t>Committee</w:t>
      </w:r>
      <w:r w:rsidR="007F690D" w:rsidRPr="00C731F1">
        <w:rPr>
          <w:rFonts w:asciiTheme="minorHAnsi" w:hAnsiTheme="minorHAnsi"/>
        </w:rPr>
        <w:t>’s</w:t>
      </w:r>
      <w:r w:rsidR="0073673E" w:rsidRPr="00C731F1">
        <w:rPr>
          <w:rFonts w:asciiTheme="minorHAnsi" w:hAnsiTheme="minorHAnsi"/>
        </w:rPr>
        <w:t xml:space="preserve"> annual </w:t>
      </w:r>
      <w:r w:rsidRPr="00C731F1">
        <w:rPr>
          <w:rFonts w:asciiTheme="minorHAnsi" w:hAnsiTheme="minorHAnsi"/>
        </w:rPr>
        <w:t xml:space="preserve">work programme in its entirety. Each of these groups have their own </w:t>
      </w:r>
      <w:proofErr w:type="spellStart"/>
      <w:r w:rsidRPr="00C731F1">
        <w:rPr>
          <w:rFonts w:asciiTheme="minorHAnsi" w:hAnsiTheme="minorHAnsi"/>
        </w:rPr>
        <w:t>ToRs</w:t>
      </w:r>
      <w:proofErr w:type="spellEnd"/>
      <w:r w:rsidRPr="00C731F1">
        <w:rPr>
          <w:rFonts w:asciiTheme="minorHAnsi" w:hAnsiTheme="minorHAnsi"/>
        </w:rPr>
        <w:t xml:space="preserve"> and report to the Committee which approves positions.</w:t>
      </w:r>
    </w:p>
    <w:p w:rsidR="00DD03C7" w:rsidRPr="00C731F1" w:rsidRDefault="00DD03C7" w:rsidP="00DD03C7">
      <w:pPr>
        <w:pStyle w:val="ListParagraph"/>
        <w:numPr>
          <w:ilvl w:val="0"/>
          <w:numId w:val="2"/>
        </w:numPr>
        <w:outlineLvl w:val="0"/>
        <w:rPr>
          <w:rFonts w:asciiTheme="minorHAnsi" w:hAnsiTheme="minorHAnsi"/>
        </w:rPr>
      </w:pPr>
      <w:r w:rsidRPr="00C731F1">
        <w:rPr>
          <w:rFonts w:asciiTheme="minorHAnsi" w:hAnsiTheme="minorHAnsi"/>
        </w:rPr>
        <w:t xml:space="preserve">WG </w:t>
      </w:r>
      <w:r w:rsidR="00EC5A34" w:rsidRPr="00C731F1">
        <w:rPr>
          <w:rFonts w:asciiTheme="minorHAnsi" w:hAnsiTheme="minorHAnsi"/>
        </w:rPr>
        <w:t>R</w:t>
      </w:r>
      <w:r w:rsidRPr="00C731F1">
        <w:rPr>
          <w:rFonts w:asciiTheme="minorHAnsi" w:hAnsiTheme="minorHAnsi"/>
        </w:rPr>
        <w:t>etail market design</w:t>
      </w:r>
    </w:p>
    <w:p w:rsidR="00DD03C7" w:rsidRPr="00C731F1" w:rsidRDefault="00DD03C7" w:rsidP="00DD03C7">
      <w:pPr>
        <w:pStyle w:val="ListParagraph"/>
        <w:numPr>
          <w:ilvl w:val="0"/>
          <w:numId w:val="2"/>
        </w:numPr>
        <w:outlineLvl w:val="0"/>
        <w:rPr>
          <w:rFonts w:asciiTheme="minorHAnsi" w:hAnsiTheme="minorHAnsi"/>
        </w:rPr>
      </w:pPr>
      <w:r w:rsidRPr="00C731F1">
        <w:rPr>
          <w:rFonts w:asciiTheme="minorHAnsi" w:hAnsiTheme="minorHAnsi"/>
        </w:rPr>
        <w:t xml:space="preserve">WG </w:t>
      </w:r>
      <w:r w:rsidR="00EC5A34" w:rsidRPr="00C731F1">
        <w:rPr>
          <w:rFonts w:asciiTheme="minorHAnsi" w:hAnsiTheme="minorHAnsi"/>
        </w:rPr>
        <w:t>Customers</w:t>
      </w:r>
    </w:p>
    <w:p w:rsidR="00DD03C7" w:rsidRPr="00C731F1" w:rsidRDefault="00EC5A34" w:rsidP="00DD03C7">
      <w:pPr>
        <w:pStyle w:val="ListParagraph"/>
        <w:numPr>
          <w:ilvl w:val="0"/>
          <w:numId w:val="2"/>
        </w:numPr>
        <w:outlineLvl w:val="0"/>
        <w:rPr>
          <w:rFonts w:asciiTheme="minorHAnsi" w:hAnsiTheme="minorHAnsi"/>
        </w:rPr>
      </w:pPr>
      <w:r w:rsidRPr="00C731F1">
        <w:rPr>
          <w:rFonts w:asciiTheme="minorHAnsi" w:hAnsiTheme="minorHAnsi"/>
        </w:rPr>
        <w:t xml:space="preserve">WG </w:t>
      </w:r>
      <w:r w:rsidR="00CE3C2E" w:rsidRPr="00C731F1">
        <w:rPr>
          <w:rFonts w:asciiTheme="minorHAnsi" w:hAnsiTheme="minorHAnsi"/>
        </w:rPr>
        <w:t>New</w:t>
      </w:r>
      <w:r w:rsidR="00DD03C7" w:rsidRPr="00C731F1">
        <w:rPr>
          <w:rFonts w:asciiTheme="minorHAnsi" w:hAnsiTheme="minorHAnsi"/>
        </w:rPr>
        <w:t xml:space="preserve"> services </w:t>
      </w:r>
    </w:p>
    <w:p w:rsidR="00DD03C7" w:rsidRPr="00C731F1" w:rsidRDefault="00DD03C7" w:rsidP="00DD03C7">
      <w:pPr>
        <w:outlineLvl w:val="0"/>
        <w:rPr>
          <w:rFonts w:asciiTheme="minorHAnsi" w:hAnsiTheme="minorHAnsi"/>
        </w:rPr>
      </w:pPr>
    </w:p>
    <w:p w:rsidR="004F68F6" w:rsidRDefault="004F68F6">
      <w:pPr>
        <w:jc w:val="left"/>
        <w:rPr>
          <w:rFonts w:asciiTheme="minorHAnsi" w:eastAsiaTheme="minorEastAsia" w:hAnsi="Calibri" w:cs="EDP Preon Regular"/>
          <w:b/>
          <w:color w:val="2C63FF"/>
          <w:kern w:val="24"/>
          <w:sz w:val="24"/>
          <w:szCs w:val="50"/>
        </w:rPr>
      </w:pPr>
      <w:r>
        <w:rPr>
          <w:rFonts w:asciiTheme="minorHAnsi" w:eastAsiaTheme="minorEastAsia" w:hAnsi="Calibri" w:cs="EDP Preon Regular"/>
          <w:b/>
          <w:color w:val="2C63FF"/>
          <w:kern w:val="24"/>
          <w:sz w:val="24"/>
          <w:szCs w:val="50"/>
        </w:rPr>
        <w:br w:type="page"/>
      </w:r>
    </w:p>
    <w:p w:rsidR="00DD03C7" w:rsidRPr="00E1212B" w:rsidRDefault="00DD03C7" w:rsidP="00DD03C7">
      <w:pPr>
        <w:pStyle w:val="ToRWGTitle"/>
        <w:spacing w:after="120"/>
        <w:rPr>
          <w:rFonts w:asciiTheme="minorHAnsi" w:eastAsiaTheme="minorEastAsia" w:hAnsi="Calibri" w:cs="EDP Preon Regular"/>
          <w:b/>
          <w:color w:val="2C63FF"/>
          <w:kern w:val="24"/>
          <w:sz w:val="24"/>
          <w:szCs w:val="50"/>
        </w:rPr>
      </w:pPr>
      <w:r>
        <w:rPr>
          <w:rFonts w:asciiTheme="minorHAnsi" w:eastAsiaTheme="minorEastAsia" w:hAnsi="Calibri" w:cs="EDP Preon Regular"/>
          <w:b/>
          <w:color w:val="2C63FF"/>
          <w:kern w:val="24"/>
          <w:sz w:val="24"/>
          <w:szCs w:val="50"/>
        </w:rPr>
        <w:lastRenderedPageBreak/>
        <w:t xml:space="preserve">Committee </w:t>
      </w:r>
      <w:r w:rsidRPr="00E1212B">
        <w:rPr>
          <w:rFonts w:asciiTheme="minorHAnsi" w:eastAsiaTheme="minorEastAsia" w:hAnsi="Calibri" w:cs="EDP Preon Regular"/>
          <w:b/>
          <w:color w:val="2C63FF"/>
          <w:kern w:val="24"/>
          <w:sz w:val="24"/>
          <w:szCs w:val="50"/>
        </w:rPr>
        <w:t>Members:</w:t>
      </w:r>
    </w:p>
    <w:p w:rsidR="00DD03C7" w:rsidRPr="00C731F1" w:rsidRDefault="00DD03C7" w:rsidP="00C17943">
      <w:pPr>
        <w:spacing w:line="276" w:lineRule="auto"/>
        <w:outlineLvl w:val="0"/>
        <w:rPr>
          <w:rFonts w:ascii="Calibri" w:hAnsi="Calibri"/>
        </w:rPr>
      </w:pPr>
      <w:r w:rsidRPr="00C731F1">
        <w:rPr>
          <w:rFonts w:ascii="Calibri" w:hAnsi="Calibri"/>
        </w:rPr>
        <w:t xml:space="preserve">The Customers &amp; </w:t>
      </w:r>
      <w:r w:rsidR="00154B32" w:rsidRPr="00C731F1">
        <w:rPr>
          <w:rFonts w:ascii="Calibri" w:hAnsi="Calibri"/>
        </w:rPr>
        <w:t>Retail</w:t>
      </w:r>
      <w:r w:rsidRPr="00C731F1">
        <w:rPr>
          <w:rFonts w:ascii="Calibri" w:hAnsi="Calibri"/>
        </w:rPr>
        <w:t xml:space="preserve"> Services Committee is composed of </w:t>
      </w:r>
      <w:r w:rsidR="00A27DFC" w:rsidRPr="00A27DFC">
        <w:rPr>
          <w:rFonts w:ascii="Calibri" w:hAnsi="Calibri"/>
        </w:rPr>
        <w:t xml:space="preserve">high level representatives </w:t>
      </w:r>
      <w:r w:rsidRPr="00C731F1">
        <w:rPr>
          <w:rFonts w:ascii="Calibri" w:hAnsi="Calibri"/>
        </w:rPr>
        <w:t>– equivalent to Directors or Managers – from either national associations or companies active in and with a thorough understanding of retail markets and new services.</w:t>
      </w:r>
    </w:p>
    <w:p w:rsidR="00DD03C7" w:rsidRDefault="00DD03C7" w:rsidP="00DD03C7">
      <w:pPr>
        <w:outlineLvl w:val="0"/>
        <w:rPr>
          <w:rFonts w:asciiTheme="minorHAnsi" w:hAnsiTheme="minorHAnsi"/>
          <w:color w:val="595959" w:themeColor="text1" w:themeTint="A6"/>
        </w:rPr>
      </w:pPr>
    </w:p>
    <w:p w:rsidR="00DD03C7" w:rsidRDefault="000262BE" w:rsidP="00DD03C7">
      <w:pPr>
        <w:pStyle w:val="ToRWGTitle"/>
        <w:spacing w:after="120"/>
        <w:rPr>
          <w:rFonts w:asciiTheme="minorHAnsi" w:eastAsiaTheme="minorEastAsia" w:hAnsi="Calibri" w:cs="EDP Preon Regular"/>
          <w:b/>
          <w:color w:val="2C63FF"/>
          <w:kern w:val="24"/>
          <w:sz w:val="24"/>
          <w:szCs w:val="50"/>
        </w:rPr>
      </w:pPr>
      <w:r>
        <w:rPr>
          <w:rFonts w:asciiTheme="minorHAnsi" w:eastAsiaTheme="minorEastAsia" w:hAnsi="Calibri" w:cs="EDP Preon Regular"/>
          <w:b/>
          <w:color w:val="2C63FF"/>
          <w:kern w:val="24"/>
          <w:sz w:val="24"/>
          <w:szCs w:val="50"/>
        </w:rPr>
        <w:t xml:space="preserve">Transversal </w:t>
      </w:r>
      <w:r w:rsidR="00ED1CB3">
        <w:rPr>
          <w:rFonts w:asciiTheme="minorHAnsi" w:eastAsiaTheme="minorEastAsia" w:hAnsi="Calibri" w:cs="EDP Preon Regular"/>
          <w:b/>
          <w:color w:val="2C63FF"/>
          <w:kern w:val="24"/>
          <w:sz w:val="24"/>
          <w:szCs w:val="50"/>
        </w:rPr>
        <w:t>Eurelectric</w:t>
      </w:r>
      <w:r w:rsidR="00DD03C7">
        <w:rPr>
          <w:rFonts w:asciiTheme="minorHAnsi" w:eastAsiaTheme="minorEastAsia" w:hAnsi="Calibri" w:cs="EDP Preon Regular"/>
          <w:b/>
          <w:color w:val="2C63FF"/>
          <w:kern w:val="24"/>
          <w:sz w:val="24"/>
          <w:szCs w:val="50"/>
        </w:rPr>
        <w:t xml:space="preserve"> Cooperation:</w:t>
      </w:r>
    </w:p>
    <w:p w:rsidR="00DD03C7" w:rsidRPr="00C731F1" w:rsidRDefault="00DD03C7" w:rsidP="00C17943">
      <w:pPr>
        <w:spacing w:line="276" w:lineRule="auto"/>
        <w:outlineLvl w:val="0"/>
        <w:rPr>
          <w:rFonts w:ascii="Calibri" w:hAnsi="Calibri"/>
        </w:rPr>
      </w:pPr>
      <w:r w:rsidRPr="00C731F1">
        <w:rPr>
          <w:rFonts w:ascii="Calibri" w:hAnsi="Calibri"/>
        </w:rPr>
        <w:t xml:space="preserve">The Committee cooperates with other Committees and initiates joint work where relevant on topics of transversal nature. Transversal projects always start with Terms of Reference which define the objective, the scope as well as the governance and approval process. </w:t>
      </w:r>
    </w:p>
    <w:p w:rsidR="00DD03C7" w:rsidRPr="00C731F1" w:rsidRDefault="00DD03C7" w:rsidP="00DD03C7">
      <w:pPr>
        <w:outlineLvl w:val="0"/>
        <w:rPr>
          <w:rFonts w:ascii="Calibri" w:hAnsi="Calibri"/>
        </w:rPr>
      </w:pPr>
    </w:p>
    <w:p w:rsidR="00DD03C7" w:rsidRPr="00C731F1" w:rsidRDefault="00DD03C7" w:rsidP="00A2710D">
      <w:pPr>
        <w:spacing w:line="276" w:lineRule="auto"/>
        <w:outlineLvl w:val="0"/>
        <w:rPr>
          <w:rFonts w:ascii="Calibri" w:hAnsi="Calibri"/>
        </w:rPr>
      </w:pPr>
      <w:r w:rsidRPr="00C731F1">
        <w:rPr>
          <w:rFonts w:ascii="Calibri" w:hAnsi="Calibri"/>
        </w:rPr>
        <w:t xml:space="preserve">Specifically, the Customers and </w:t>
      </w:r>
      <w:r w:rsidR="00154B32" w:rsidRPr="00C731F1">
        <w:rPr>
          <w:rFonts w:ascii="Calibri" w:hAnsi="Calibri"/>
        </w:rPr>
        <w:t>Retail</w:t>
      </w:r>
      <w:r w:rsidR="0021495C" w:rsidRPr="00C731F1">
        <w:rPr>
          <w:rFonts w:ascii="Calibri" w:hAnsi="Calibri"/>
        </w:rPr>
        <w:t xml:space="preserve"> Services C</w:t>
      </w:r>
      <w:r w:rsidRPr="00C731F1">
        <w:rPr>
          <w:rFonts w:ascii="Calibri" w:hAnsi="Calibri"/>
        </w:rPr>
        <w:t xml:space="preserve">ommittee closely cooperates with: </w:t>
      </w:r>
    </w:p>
    <w:p w:rsidR="00DD03C7" w:rsidRPr="00C731F1" w:rsidRDefault="00DD03C7" w:rsidP="00A2710D">
      <w:pPr>
        <w:pStyle w:val="ListParagraph"/>
        <w:numPr>
          <w:ilvl w:val="0"/>
          <w:numId w:val="8"/>
        </w:numPr>
        <w:spacing w:line="276" w:lineRule="auto"/>
        <w:outlineLvl w:val="0"/>
        <w:rPr>
          <w:rFonts w:eastAsia="Times New Roman" w:cs="Times New Roman"/>
          <w:szCs w:val="20"/>
          <w:lang w:eastAsia="en-GB"/>
        </w:rPr>
      </w:pPr>
      <w:r w:rsidRPr="00C731F1">
        <w:rPr>
          <w:rFonts w:eastAsia="Times New Roman" w:cs="Times New Roman"/>
          <w:szCs w:val="20"/>
          <w:lang w:eastAsia="en-GB"/>
        </w:rPr>
        <w:t>The Markets and Investments Committee on investment signals for c</w:t>
      </w:r>
      <w:r w:rsidR="0021495C" w:rsidRPr="00C731F1">
        <w:rPr>
          <w:rFonts w:eastAsia="Times New Roman" w:cs="Times New Roman"/>
          <w:szCs w:val="20"/>
          <w:lang w:eastAsia="en-GB"/>
        </w:rPr>
        <w:t>ustomers</w:t>
      </w:r>
      <w:r w:rsidRPr="00C731F1">
        <w:rPr>
          <w:rFonts w:eastAsia="Times New Roman" w:cs="Times New Roman"/>
          <w:szCs w:val="20"/>
          <w:lang w:eastAsia="en-GB"/>
        </w:rPr>
        <w:t xml:space="preserve"> to invest in local energy generation, storage and demand response</w:t>
      </w:r>
    </w:p>
    <w:p w:rsidR="00DD03C7" w:rsidRPr="00C731F1" w:rsidRDefault="00DD03C7" w:rsidP="00A2710D">
      <w:pPr>
        <w:pStyle w:val="ListParagraph"/>
        <w:numPr>
          <w:ilvl w:val="0"/>
          <w:numId w:val="8"/>
        </w:numPr>
        <w:spacing w:line="276" w:lineRule="auto"/>
        <w:outlineLvl w:val="0"/>
        <w:rPr>
          <w:rFonts w:eastAsia="Times New Roman" w:cs="Times New Roman"/>
          <w:szCs w:val="20"/>
          <w:lang w:eastAsia="en-GB"/>
        </w:rPr>
      </w:pPr>
      <w:r w:rsidRPr="00C731F1">
        <w:rPr>
          <w:rFonts w:eastAsia="Times New Roman" w:cs="Times New Roman"/>
          <w:szCs w:val="20"/>
          <w:lang w:eastAsia="en-GB"/>
        </w:rPr>
        <w:t xml:space="preserve">The Electrification and Sustainability Committee on </w:t>
      </w:r>
      <w:bookmarkStart w:id="0" w:name="_GoBack"/>
      <w:bookmarkEnd w:id="0"/>
      <w:r w:rsidRPr="00C731F1">
        <w:rPr>
          <w:rFonts w:eastAsia="Times New Roman" w:cs="Times New Roman"/>
          <w:szCs w:val="20"/>
          <w:lang w:eastAsia="en-GB"/>
        </w:rPr>
        <w:t xml:space="preserve">energy efficiency, E-mobility and electrification of other sectors that underpin the development of new energy services. </w:t>
      </w:r>
    </w:p>
    <w:p w:rsidR="00DD03C7" w:rsidRPr="00C731F1" w:rsidRDefault="00DD03C7" w:rsidP="00A2710D">
      <w:pPr>
        <w:pStyle w:val="ListParagraph"/>
        <w:numPr>
          <w:ilvl w:val="0"/>
          <w:numId w:val="8"/>
        </w:numPr>
        <w:spacing w:line="276" w:lineRule="auto"/>
        <w:outlineLvl w:val="0"/>
        <w:rPr>
          <w:rFonts w:eastAsia="Times New Roman" w:cs="Times New Roman"/>
          <w:szCs w:val="20"/>
          <w:lang w:eastAsia="en-GB"/>
        </w:rPr>
      </w:pPr>
      <w:r w:rsidRPr="00C731F1">
        <w:rPr>
          <w:rFonts w:eastAsia="Times New Roman" w:cs="Times New Roman"/>
          <w:szCs w:val="20"/>
          <w:lang w:eastAsia="en-GB"/>
        </w:rPr>
        <w:t xml:space="preserve">The Distribution and Markets facilitation Committee on access to local flexibility resources, </w:t>
      </w:r>
      <w:r w:rsidR="00DC6081" w:rsidRPr="00C731F1">
        <w:rPr>
          <w:rFonts w:eastAsia="Times New Roman" w:cs="Times New Roman"/>
          <w:szCs w:val="20"/>
          <w:lang w:eastAsia="en-GB"/>
        </w:rPr>
        <w:t xml:space="preserve">data management, </w:t>
      </w:r>
      <w:r w:rsidRPr="00C731F1">
        <w:rPr>
          <w:rFonts w:eastAsia="Times New Roman" w:cs="Times New Roman"/>
          <w:szCs w:val="20"/>
          <w:lang w:eastAsia="en-GB"/>
        </w:rPr>
        <w:t>de</w:t>
      </w:r>
      <w:r w:rsidR="00DC6081" w:rsidRPr="00C731F1">
        <w:rPr>
          <w:rFonts w:eastAsia="Times New Roman" w:cs="Times New Roman"/>
          <w:szCs w:val="20"/>
          <w:lang w:eastAsia="en-GB"/>
        </w:rPr>
        <w:t>mand-</w:t>
      </w:r>
      <w:r w:rsidRPr="00C731F1">
        <w:rPr>
          <w:rFonts w:eastAsia="Times New Roman" w:cs="Times New Roman"/>
          <w:szCs w:val="20"/>
          <w:lang w:eastAsia="en-GB"/>
        </w:rPr>
        <w:t>side flexibility</w:t>
      </w:r>
      <w:r w:rsidR="00DC6081" w:rsidRPr="00C731F1">
        <w:rPr>
          <w:rFonts w:eastAsia="Times New Roman" w:cs="Times New Roman"/>
          <w:szCs w:val="20"/>
          <w:lang w:eastAsia="en-GB"/>
        </w:rPr>
        <w:t>,</w:t>
      </w:r>
      <w:r w:rsidRPr="00C731F1">
        <w:rPr>
          <w:rFonts w:eastAsia="Times New Roman" w:cs="Times New Roman"/>
          <w:szCs w:val="20"/>
          <w:lang w:eastAsia="en-GB"/>
        </w:rPr>
        <w:t xml:space="preserve"> new services</w:t>
      </w:r>
      <w:r w:rsidR="00DC6081" w:rsidRPr="00C731F1">
        <w:rPr>
          <w:rFonts w:eastAsia="Times New Roman" w:cs="Times New Roman"/>
          <w:szCs w:val="20"/>
          <w:lang w:eastAsia="en-GB"/>
        </w:rPr>
        <w:t xml:space="preserve"> and all operational aspects of network management impacting electricity supply</w:t>
      </w:r>
      <w:r w:rsidR="00965952" w:rsidRPr="00C731F1">
        <w:rPr>
          <w:rFonts w:eastAsia="Times New Roman" w:cs="Times New Roman"/>
          <w:szCs w:val="20"/>
          <w:lang w:eastAsia="en-GB"/>
        </w:rPr>
        <w:t xml:space="preserve"> to final customers</w:t>
      </w:r>
      <w:r w:rsidRPr="00C731F1">
        <w:rPr>
          <w:rFonts w:eastAsia="Times New Roman" w:cs="Times New Roman"/>
          <w:szCs w:val="20"/>
          <w:lang w:eastAsia="en-GB"/>
        </w:rPr>
        <w:t xml:space="preserve">. </w:t>
      </w:r>
    </w:p>
    <w:p w:rsidR="00DD03C7" w:rsidRPr="00211B2F" w:rsidRDefault="00DD03C7" w:rsidP="00DD03C7">
      <w:pPr>
        <w:pStyle w:val="ListParagraph"/>
        <w:outlineLvl w:val="0"/>
        <w:rPr>
          <w:rFonts w:eastAsia="Times New Roman" w:cs="Times New Roman"/>
          <w:color w:val="595959" w:themeColor="text1" w:themeTint="A6"/>
          <w:szCs w:val="20"/>
          <w:lang w:eastAsia="en-GB"/>
        </w:rPr>
      </w:pPr>
    </w:p>
    <w:p w:rsidR="00DD03C7" w:rsidRPr="00211B2F" w:rsidRDefault="00DD03C7" w:rsidP="00211B2F">
      <w:pPr>
        <w:pStyle w:val="ToRWGTitle"/>
        <w:spacing w:after="120"/>
        <w:rPr>
          <w:rFonts w:asciiTheme="minorHAnsi" w:eastAsiaTheme="minorEastAsia" w:hAnsi="Calibri" w:cs="EDP Preon Regular"/>
          <w:b/>
          <w:color w:val="2C63FF"/>
          <w:kern w:val="24"/>
          <w:sz w:val="24"/>
          <w:szCs w:val="50"/>
        </w:rPr>
      </w:pPr>
      <w:r w:rsidRPr="00211B2F">
        <w:rPr>
          <w:rFonts w:asciiTheme="minorHAnsi" w:eastAsiaTheme="minorEastAsia" w:hAnsi="Calibri" w:cs="EDP Preon Regular"/>
          <w:b/>
          <w:color w:val="2C63FF"/>
          <w:kern w:val="24"/>
          <w:sz w:val="24"/>
          <w:szCs w:val="50"/>
        </w:rPr>
        <w:t xml:space="preserve">European and international liaison:  </w:t>
      </w:r>
    </w:p>
    <w:p w:rsidR="00017647" w:rsidRPr="00C731F1" w:rsidRDefault="00DD03C7" w:rsidP="00C17943">
      <w:pPr>
        <w:spacing w:line="276" w:lineRule="auto"/>
        <w:outlineLvl w:val="0"/>
        <w:rPr>
          <w:rFonts w:ascii="Calibri" w:hAnsi="Calibri"/>
        </w:rPr>
      </w:pPr>
      <w:r w:rsidRPr="00C731F1">
        <w:rPr>
          <w:rFonts w:ascii="Calibri" w:hAnsi="Calibri"/>
        </w:rPr>
        <w:t xml:space="preserve">DG Energy (ENER), DG Justice &amp; Consumers (JUST), European Parliament’s Industry, Research &amp; Energy (ITRE) and Internal Market &amp; Consumer Protection (IMCO) Committees, Citizens’ Energy Forum (Dublin Forum), Agency of the Cooperation of Energy Regulators (ACER), Council of European Energy Regulators (CEER), European Consumer Organisation (BEUC), </w:t>
      </w:r>
      <w:proofErr w:type="spellStart"/>
      <w:r w:rsidRPr="00C731F1">
        <w:rPr>
          <w:rFonts w:ascii="Calibri" w:hAnsi="Calibri"/>
        </w:rPr>
        <w:t>SmartEn</w:t>
      </w:r>
      <w:proofErr w:type="spellEnd"/>
      <w:r w:rsidRPr="00C731F1">
        <w:rPr>
          <w:rFonts w:ascii="Calibri" w:hAnsi="Calibri"/>
        </w:rPr>
        <w:t xml:space="preserve">, </w:t>
      </w:r>
      <w:proofErr w:type="spellStart"/>
      <w:r w:rsidRPr="00C731F1">
        <w:rPr>
          <w:rFonts w:ascii="Calibri" w:hAnsi="Calibri"/>
        </w:rPr>
        <w:t>RESCoop</w:t>
      </w:r>
      <w:proofErr w:type="spellEnd"/>
      <w:r w:rsidRPr="00C731F1">
        <w:rPr>
          <w:rFonts w:ascii="Calibri" w:hAnsi="Calibri"/>
        </w:rPr>
        <w:t xml:space="preserve">, </w:t>
      </w:r>
      <w:proofErr w:type="spellStart"/>
      <w:r w:rsidRPr="00C731F1">
        <w:rPr>
          <w:rFonts w:ascii="Calibri" w:hAnsi="Calibri"/>
        </w:rPr>
        <w:t>Eurogas</w:t>
      </w:r>
      <w:proofErr w:type="spellEnd"/>
      <w:r w:rsidRPr="00C731F1">
        <w:rPr>
          <w:rFonts w:ascii="Calibri" w:hAnsi="Calibri"/>
        </w:rPr>
        <w:t>, EDSO for Smart Grids, GEODE, CEDEC</w:t>
      </w:r>
      <w:r w:rsidR="00C17943" w:rsidRPr="00C731F1">
        <w:rPr>
          <w:rFonts w:ascii="Calibri" w:hAnsi="Calibri"/>
        </w:rPr>
        <w:t>.</w:t>
      </w:r>
    </w:p>
    <w:p w:rsidR="00017647" w:rsidRPr="00617E8C" w:rsidRDefault="00017647" w:rsidP="00617E8C">
      <w:pPr>
        <w:pStyle w:val="NoSpacing"/>
        <w:spacing w:line="276" w:lineRule="auto"/>
        <w:ind w:left="720"/>
        <w:jc w:val="both"/>
        <w:outlineLvl w:val="0"/>
        <w:rPr>
          <w:rFonts w:ascii="Calibri" w:hAnsi="Calibri"/>
          <w:color w:val="595959" w:themeColor="text1" w:themeTint="A6"/>
        </w:rPr>
      </w:pPr>
    </w:p>
    <w:p w:rsidR="00E80460" w:rsidRDefault="000A4DEA" w:rsidP="00E80460">
      <w:pPr>
        <w:spacing w:line="276" w:lineRule="auto"/>
        <w:outlineLvl w:val="0"/>
        <w:rPr>
          <w:rFonts w:asciiTheme="minorHAnsi" w:eastAsiaTheme="minorEastAsia" w:hAnsi="Calibri" w:cs="EDP Preon Regular"/>
          <w:b/>
          <w:color w:val="2C63FF"/>
          <w:kern w:val="24"/>
          <w:sz w:val="24"/>
          <w:szCs w:val="50"/>
        </w:rPr>
      </w:pPr>
      <w:r w:rsidRPr="00385DD4">
        <w:rPr>
          <w:rFonts w:asciiTheme="minorHAnsi" w:eastAsiaTheme="minorEastAsia" w:hAnsi="Calibri" w:cs="EDP Preon Regular"/>
          <w:b/>
          <w:color w:val="2C63FF"/>
          <w:kern w:val="24"/>
          <w:sz w:val="24"/>
          <w:szCs w:val="50"/>
        </w:rPr>
        <w:t>Wo</w:t>
      </w:r>
      <w:r w:rsidR="005E093F">
        <w:rPr>
          <w:rFonts w:asciiTheme="minorHAnsi" w:eastAsiaTheme="minorEastAsia" w:hAnsi="Calibri" w:cs="EDP Preon Regular"/>
          <w:b/>
          <w:color w:val="2C63FF"/>
          <w:kern w:val="24"/>
          <w:sz w:val="24"/>
          <w:szCs w:val="50"/>
        </w:rPr>
        <w:t>rk programme</w:t>
      </w:r>
    </w:p>
    <w:p w:rsidR="005E093F" w:rsidRPr="005E093F" w:rsidRDefault="005E093F" w:rsidP="00F25A9F">
      <w:pPr>
        <w:rPr>
          <w:rFonts w:ascii="Calibri" w:hAnsi="Calibri"/>
          <w:color w:val="595959" w:themeColor="text1" w:themeTint="A6"/>
          <w:sz w:val="4"/>
          <w:szCs w:val="4"/>
        </w:rPr>
      </w:pPr>
    </w:p>
    <w:p w:rsidR="00F25A9F" w:rsidRPr="00C731F1" w:rsidRDefault="005E093F" w:rsidP="00C17943">
      <w:pPr>
        <w:spacing w:line="276" w:lineRule="auto"/>
        <w:outlineLvl w:val="0"/>
        <w:rPr>
          <w:rFonts w:ascii="Calibri" w:hAnsi="Calibri"/>
        </w:rPr>
      </w:pPr>
      <w:r w:rsidRPr="00C731F1">
        <w:rPr>
          <w:rFonts w:ascii="Calibri" w:hAnsi="Calibri"/>
        </w:rPr>
        <w:t xml:space="preserve">The Chairmanship along with the Secretariat, on a yearly basis and towards the end of each year, submits </w:t>
      </w:r>
      <w:r w:rsidR="00B018B2" w:rsidRPr="00C731F1">
        <w:rPr>
          <w:rFonts w:ascii="Calibri" w:hAnsi="Calibri"/>
        </w:rPr>
        <w:t xml:space="preserve">to the Committee </w:t>
      </w:r>
      <w:r w:rsidRPr="00C731F1">
        <w:rPr>
          <w:rFonts w:ascii="Calibri" w:hAnsi="Calibri"/>
        </w:rPr>
        <w:t>a work programme proposal with clearly defined priorities, together with appropriate justification on added-value. These priorities shall be in line with the Board’s priorities and take into account the foreseen resources available at the Secretariat side.</w:t>
      </w:r>
    </w:p>
    <w:p w:rsidR="00381028" w:rsidRDefault="00381028">
      <w:pPr>
        <w:jc w:val="left"/>
        <w:rPr>
          <w:rFonts w:ascii="Calibri" w:hAnsi="Calibri"/>
          <w:color w:val="595959" w:themeColor="text1" w:themeTint="A6"/>
        </w:rPr>
      </w:pPr>
      <w:r>
        <w:rPr>
          <w:rFonts w:ascii="Calibri" w:hAnsi="Calibri"/>
          <w:color w:val="595959" w:themeColor="text1" w:themeTint="A6"/>
        </w:rPr>
        <w:br w:type="page"/>
      </w:r>
    </w:p>
    <w:p w:rsidR="00381028" w:rsidRDefault="00381028" w:rsidP="00381028">
      <w:pPr>
        <w:pStyle w:val="ToRWGTitle"/>
        <w:spacing w:after="120"/>
        <w:rPr>
          <w:rFonts w:asciiTheme="minorHAnsi" w:eastAsiaTheme="minorEastAsia" w:hAnsi="Calibri" w:cs="EDP Preon Regular"/>
          <w:b/>
          <w:color w:val="2C63FF"/>
          <w:kern w:val="24"/>
          <w:sz w:val="24"/>
          <w:szCs w:val="50"/>
        </w:rPr>
      </w:pPr>
    </w:p>
    <w:p w:rsidR="00381028" w:rsidRDefault="00381028" w:rsidP="00381028">
      <w:pPr>
        <w:pStyle w:val="ToRWGTitle"/>
        <w:spacing w:after="120"/>
        <w:rPr>
          <w:rFonts w:asciiTheme="minorHAnsi" w:eastAsiaTheme="minorEastAsia" w:hAnsi="Calibri" w:cs="EDP Preon Regular"/>
          <w:b/>
          <w:color w:val="2C63FF"/>
          <w:kern w:val="24"/>
          <w:sz w:val="24"/>
          <w:szCs w:val="50"/>
        </w:rPr>
      </w:pPr>
      <w:r>
        <w:rPr>
          <w:rFonts w:asciiTheme="minorHAnsi" w:eastAsiaTheme="minorEastAsia" w:hAnsi="Calibri" w:cs="EDP Preon Regular"/>
          <w:b/>
          <w:color w:val="2C63FF"/>
          <w:kern w:val="24"/>
          <w:sz w:val="24"/>
          <w:szCs w:val="50"/>
        </w:rPr>
        <w:t>ANNEX – Work Programme 2018-2019</w:t>
      </w:r>
    </w:p>
    <w:p w:rsidR="00381028" w:rsidRDefault="00381028" w:rsidP="00381028">
      <w:pPr>
        <w:pStyle w:val="ToRWGTitle"/>
        <w:spacing w:after="120"/>
        <w:rPr>
          <w:rFonts w:asciiTheme="minorHAnsi" w:eastAsiaTheme="minorEastAsia" w:hAnsi="Calibri" w:cs="EDP Preon Regular"/>
          <w:b/>
          <w:color w:val="2C63FF"/>
          <w:kern w:val="24"/>
          <w:sz w:val="24"/>
          <w:szCs w:val="50"/>
        </w:rPr>
      </w:pPr>
    </w:p>
    <w:tbl>
      <w:tblPr>
        <w:tblW w:w="9747" w:type="dxa"/>
        <w:tblBorders>
          <w:top w:val="single" w:sz="4" w:space="0" w:color="003399"/>
          <w:left w:val="single" w:sz="4" w:space="0" w:color="003399"/>
          <w:bottom w:val="single" w:sz="4" w:space="0" w:color="003399"/>
          <w:right w:val="single" w:sz="4" w:space="0" w:color="003399"/>
          <w:insideH w:val="single" w:sz="4" w:space="0" w:color="003399"/>
          <w:insideV w:val="single" w:sz="4" w:space="0" w:color="003399"/>
        </w:tblBorders>
        <w:tblLook w:val="04A0" w:firstRow="1" w:lastRow="0" w:firstColumn="1" w:lastColumn="0" w:noHBand="0" w:noVBand="1"/>
      </w:tblPr>
      <w:tblGrid>
        <w:gridCol w:w="2730"/>
        <w:gridCol w:w="1936"/>
        <w:gridCol w:w="1280"/>
        <w:gridCol w:w="1276"/>
        <w:gridCol w:w="2525"/>
      </w:tblGrid>
      <w:tr w:rsidR="00B70A5E" w:rsidRPr="00381028" w:rsidTr="00A21AEF">
        <w:trPr>
          <w:trHeight w:val="1255"/>
        </w:trPr>
        <w:tc>
          <w:tcPr>
            <w:tcW w:w="2730" w:type="dxa"/>
            <w:shd w:val="clear" w:color="auto" w:fill="2C63FE"/>
          </w:tcPr>
          <w:p w:rsidR="00B70A5E" w:rsidRPr="00381028" w:rsidRDefault="00B70A5E" w:rsidP="00381028">
            <w:pPr>
              <w:snapToGrid w:val="0"/>
              <w:rPr>
                <w:rFonts w:ascii="Calibri" w:hAnsi="Calibri"/>
                <w:b/>
                <w:color w:val="FFFFFF"/>
              </w:rPr>
            </w:pPr>
            <w:r w:rsidRPr="00381028">
              <w:rPr>
                <w:rFonts w:ascii="Calibri" w:hAnsi="Calibri"/>
                <w:b/>
                <w:color w:val="FFFFFF"/>
              </w:rPr>
              <w:t>Deliverable</w:t>
            </w:r>
          </w:p>
        </w:tc>
        <w:tc>
          <w:tcPr>
            <w:tcW w:w="1936" w:type="dxa"/>
            <w:shd w:val="clear" w:color="auto" w:fill="2C63FE"/>
          </w:tcPr>
          <w:p w:rsidR="00B70A5E" w:rsidRPr="00381028" w:rsidRDefault="00B70A5E" w:rsidP="00381028">
            <w:pPr>
              <w:snapToGrid w:val="0"/>
              <w:rPr>
                <w:rFonts w:ascii="Calibri" w:hAnsi="Calibri"/>
                <w:b/>
                <w:color w:val="FFFFFF"/>
              </w:rPr>
            </w:pPr>
            <w:r w:rsidRPr="00381028">
              <w:rPr>
                <w:rFonts w:ascii="Calibri" w:hAnsi="Calibri"/>
                <w:b/>
                <w:color w:val="FFFFFF"/>
              </w:rPr>
              <w:t>Deliverable Type</w:t>
            </w:r>
          </w:p>
        </w:tc>
        <w:tc>
          <w:tcPr>
            <w:tcW w:w="1280" w:type="dxa"/>
            <w:shd w:val="clear" w:color="auto" w:fill="2C63FE"/>
          </w:tcPr>
          <w:p w:rsidR="00B70A5E" w:rsidRPr="00381028" w:rsidRDefault="00B70A5E" w:rsidP="00381028">
            <w:pPr>
              <w:snapToGrid w:val="0"/>
              <w:rPr>
                <w:rFonts w:ascii="Calibri" w:hAnsi="Calibri"/>
                <w:b/>
                <w:color w:val="FFFFFF"/>
              </w:rPr>
            </w:pPr>
            <w:r w:rsidRPr="00381028">
              <w:rPr>
                <w:rFonts w:ascii="Calibri" w:hAnsi="Calibri"/>
                <w:b/>
                <w:color w:val="FFFFFF"/>
              </w:rPr>
              <w:t>Anticipated Start Date:</w:t>
            </w:r>
          </w:p>
        </w:tc>
        <w:tc>
          <w:tcPr>
            <w:tcW w:w="1276" w:type="dxa"/>
            <w:shd w:val="clear" w:color="auto" w:fill="2C63FE"/>
          </w:tcPr>
          <w:p w:rsidR="00B70A5E" w:rsidRPr="00381028" w:rsidRDefault="00B70A5E" w:rsidP="00381028">
            <w:pPr>
              <w:snapToGrid w:val="0"/>
              <w:rPr>
                <w:rFonts w:ascii="Calibri" w:hAnsi="Calibri"/>
                <w:b/>
                <w:color w:val="FFFFFF"/>
              </w:rPr>
            </w:pPr>
            <w:r w:rsidRPr="00381028">
              <w:rPr>
                <w:rFonts w:ascii="Calibri" w:hAnsi="Calibri"/>
                <w:b/>
                <w:color w:val="FFFFFF"/>
              </w:rPr>
              <w:t>Anticipated</w:t>
            </w:r>
            <w:r w:rsidRPr="00381028">
              <w:rPr>
                <w:rFonts w:ascii="Calibri" w:hAnsi="Calibri"/>
                <w:b/>
                <w:color w:val="FFFFFF"/>
              </w:rPr>
              <w:br/>
              <w:t>Delivery Date:</w:t>
            </w:r>
          </w:p>
        </w:tc>
        <w:tc>
          <w:tcPr>
            <w:tcW w:w="2525" w:type="dxa"/>
            <w:shd w:val="clear" w:color="auto" w:fill="2C63FE"/>
          </w:tcPr>
          <w:p w:rsidR="00B70A5E" w:rsidRPr="00381028" w:rsidRDefault="00B70A5E" w:rsidP="00381028">
            <w:pPr>
              <w:snapToGrid w:val="0"/>
              <w:rPr>
                <w:rFonts w:ascii="Calibri" w:hAnsi="Calibri"/>
                <w:b/>
                <w:color w:val="FFFFFF"/>
              </w:rPr>
            </w:pPr>
            <w:r w:rsidRPr="00381028">
              <w:rPr>
                <w:rFonts w:ascii="Calibri" w:hAnsi="Calibri"/>
                <w:b/>
                <w:color w:val="FFFFFF"/>
              </w:rPr>
              <w:t>Stakeholders/</w:t>
            </w:r>
          </w:p>
          <w:p w:rsidR="00B70A5E" w:rsidRPr="00381028" w:rsidRDefault="00B70A5E" w:rsidP="00381028">
            <w:pPr>
              <w:snapToGrid w:val="0"/>
              <w:rPr>
                <w:rFonts w:ascii="Calibri" w:hAnsi="Calibri"/>
                <w:b/>
                <w:color w:val="FFFFFF"/>
              </w:rPr>
            </w:pPr>
            <w:r w:rsidRPr="00381028">
              <w:rPr>
                <w:rFonts w:ascii="Calibri" w:hAnsi="Calibri"/>
                <w:b/>
                <w:color w:val="FFFFFF"/>
              </w:rPr>
              <w:t>External parties to be influenced and by when?</w:t>
            </w:r>
          </w:p>
        </w:tc>
      </w:tr>
      <w:tr w:rsidR="00B70A5E" w:rsidRPr="00381028" w:rsidTr="00A21AEF">
        <w:tc>
          <w:tcPr>
            <w:tcW w:w="2730" w:type="dxa"/>
            <w:shd w:val="clear" w:color="auto" w:fill="auto"/>
          </w:tcPr>
          <w:p w:rsidR="00B70A5E" w:rsidRPr="00381028" w:rsidRDefault="00B70A5E" w:rsidP="00381028">
            <w:pPr>
              <w:spacing w:after="240"/>
              <w:jc w:val="left"/>
              <w:rPr>
                <w:rFonts w:asciiTheme="minorHAnsi" w:hAnsiTheme="minorHAnsi"/>
                <w:color w:val="262626"/>
              </w:rPr>
            </w:pPr>
            <w:r w:rsidRPr="00381028">
              <w:rPr>
                <w:rFonts w:asciiTheme="minorHAnsi" w:hAnsiTheme="minorHAnsi"/>
                <w:color w:val="595959" w:themeColor="text1" w:themeTint="A6"/>
              </w:rPr>
              <w:t>Clean Energy Package finalisation, in particular on the electricity directive.</w:t>
            </w:r>
          </w:p>
        </w:tc>
        <w:tc>
          <w:tcPr>
            <w:tcW w:w="1936" w:type="dxa"/>
          </w:tcPr>
          <w:p w:rsidR="00B70A5E" w:rsidRPr="00381028" w:rsidRDefault="00B70A5E" w:rsidP="00381028">
            <w:pPr>
              <w:snapToGrid w:val="0"/>
              <w:jc w:val="left"/>
              <w:rPr>
                <w:rFonts w:asciiTheme="minorHAnsi" w:eastAsia="Calibri" w:hAnsiTheme="minorHAnsi" w:cs="Calibri"/>
                <w:color w:val="404040"/>
                <w:szCs w:val="22"/>
                <w:lang w:eastAsia="en-US"/>
              </w:rPr>
            </w:pPr>
            <w:r w:rsidRPr="00381028">
              <w:rPr>
                <w:rFonts w:asciiTheme="minorHAnsi" w:eastAsia="Calibri" w:hAnsiTheme="minorHAnsi" w:cs="Calibri"/>
                <w:color w:val="404040"/>
                <w:szCs w:val="22"/>
                <w:lang w:eastAsia="en-US"/>
              </w:rPr>
              <w:t xml:space="preserve">Position papers, joint statements, </w:t>
            </w:r>
          </w:p>
          <w:p w:rsidR="00B70A5E" w:rsidRPr="00381028" w:rsidRDefault="00B70A5E" w:rsidP="00381028">
            <w:pPr>
              <w:snapToGrid w:val="0"/>
              <w:jc w:val="left"/>
              <w:rPr>
                <w:rFonts w:asciiTheme="minorHAnsi" w:eastAsia="Calibri" w:hAnsiTheme="minorHAnsi" w:cs="Calibri"/>
                <w:color w:val="404040"/>
                <w:szCs w:val="22"/>
                <w:lang w:eastAsia="en-US"/>
              </w:rPr>
            </w:pPr>
          </w:p>
          <w:p w:rsidR="00B70A5E" w:rsidRPr="00381028" w:rsidRDefault="00B70A5E" w:rsidP="00381028">
            <w:pPr>
              <w:snapToGrid w:val="0"/>
              <w:jc w:val="left"/>
              <w:rPr>
                <w:rFonts w:asciiTheme="minorHAnsi" w:eastAsia="Calibri" w:hAnsiTheme="minorHAnsi" w:cs="Calibri"/>
                <w:color w:val="404040"/>
                <w:szCs w:val="22"/>
                <w:lang w:eastAsia="en-US"/>
              </w:rPr>
            </w:pPr>
            <w:r w:rsidRPr="00381028">
              <w:rPr>
                <w:rFonts w:asciiTheme="minorHAnsi" w:eastAsia="Calibri" w:hAnsiTheme="minorHAnsi" w:cs="Calibri"/>
                <w:color w:val="404040"/>
                <w:szCs w:val="22"/>
                <w:lang w:eastAsia="en-US"/>
              </w:rPr>
              <w:t xml:space="preserve">Active participation in regulatory fora </w:t>
            </w:r>
          </w:p>
          <w:p w:rsidR="00B70A5E" w:rsidRPr="00381028" w:rsidRDefault="00B70A5E" w:rsidP="00381028">
            <w:pPr>
              <w:snapToGrid w:val="0"/>
              <w:jc w:val="left"/>
              <w:rPr>
                <w:rFonts w:asciiTheme="minorHAnsi" w:eastAsia="Calibri" w:hAnsiTheme="minorHAnsi" w:cs="Calibri"/>
                <w:color w:val="404040"/>
                <w:szCs w:val="22"/>
                <w:lang w:eastAsia="en-US"/>
              </w:rPr>
            </w:pPr>
          </w:p>
          <w:p w:rsidR="00B70A5E" w:rsidRPr="00381028" w:rsidRDefault="00B70A5E" w:rsidP="00381028">
            <w:pPr>
              <w:snapToGrid w:val="0"/>
              <w:jc w:val="left"/>
              <w:rPr>
                <w:rFonts w:asciiTheme="minorHAnsi" w:eastAsia="Calibri" w:hAnsiTheme="minorHAnsi" w:cs="Calibri"/>
                <w:color w:val="404040"/>
                <w:szCs w:val="22"/>
                <w:lang w:eastAsia="en-US"/>
              </w:rPr>
            </w:pPr>
            <w:r w:rsidRPr="00381028">
              <w:rPr>
                <w:rFonts w:asciiTheme="minorHAnsi" w:eastAsia="Calibri" w:hAnsiTheme="minorHAnsi" w:cs="Calibri"/>
                <w:color w:val="404040"/>
                <w:szCs w:val="22"/>
                <w:lang w:eastAsia="en-US"/>
              </w:rPr>
              <w:t>Bilateral meetings</w:t>
            </w:r>
          </w:p>
        </w:tc>
        <w:tc>
          <w:tcPr>
            <w:tcW w:w="1280" w:type="dxa"/>
          </w:tcPr>
          <w:p w:rsidR="00B70A5E" w:rsidRPr="00381028" w:rsidRDefault="00B70A5E" w:rsidP="00381028">
            <w:pPr>
              <w:snapToGrid w:val="0"/>
              <w:jc w:val="left"/>
              <w:rPr>
                <w:rFonts w:asciiTheme="minorHAnsi" w:eastAsia="Calibri" w:hAnsiTheme="minorHAnsi" w:cs="Calibri"/>
                <w:color w:val="404040"/>
                <w:szCs w:val="22"/>
                <w:lang w:eastAsia="en-US"/>
              </w:rPr>
            </w:pPr>
            <w:r w:rsidRPr="00381028">
              <w:rPr>
                <w:rFonts w:asciiTheme="minorHAnsi" w:eastAsia="Calibri" w:hAnsiTheme="minorHAnsi" w:cs="Calibri"/>
                <w:color w:val="404040"/>
                <w:szCs w:val="22"/>
                <w:lang w:eastAsia="en-US"/>
              </w:rPr>
              <w:t>2016</w:t>
            </w:r>
          </w:p>
        </w:tc>
        <w:tc>
          <w:tcPr>
            <w:tcW w:w="1276" w:type="dxa"/>
            <w:shd w:val="clear" w:color="auto" w:fill="auto"/>
          </w:tcPr>
          <w:p w:rsidR="00B70A5E" w:rsidRPr="00381028" w:rsidRDefault="00B70A5E" w:rsidP="00381028">
            <w:pPr>
              <w:snapToGrid w:val="0"/>
              <w:jc w:val="left"/>
              <w:rPr>
                <w:rFonts w:asciiTheme="minorHAnsi" w:eastAsia="Calibri" w:hAnsiTheme="minorHAnsi" w:cs="Calibri"/>
                <w:color w:val="404040"/>
                <w:szCs w:val="22"/>
                <w:lang w:eastAsia="en-US"/>
              </w:rPr>
            </w:pPr>
            <w:r w:rsidRPr="00381028">
              <w:rPr>
                <w:rFonts w:asciiTheme="minorHAnsi" w:eastAsia="Calibri" w:hAnsiTheme="minorHAnsi" w:cs="Calibri"/>
                <w:color w:val="404040"/>
                <w:szCs w:val="22"/>
                <w:lang w:eastAsia="en-US"/>
              </w:rPr>
              <w:t>Q2 2019</w:t>
            </w:r>
          </w:p>
        </w:tc>
        <w:tc>
          <w:tcPr>
            <w:tcW w:w="2525" w:type="dxa"/>
          </w:tcPr>
          <w:p w:rsidR="00B70A5E" w:rsidRPr="00381028" w:rsidRDefault="00B70A5E" w:rsidP="00381028">
            <w:pPr>
              <w:snapToGrid w:val="0"/>
              <w:jc w:val="left"/>
              <w:rPr>
                <w:rFonts w:asciiTheme="minorHAnsi" w:eastAsia="Calibri" w:hAnsiTheme="minorHAnsi" w:cs="Calibri"/>
                <w:color w:val="404040"/>
                <w:szCs w:val="22"/>
                <w:lang w:eastAsia="en-US"/>
              </w:rPr>
            </w:pPr>
            <w:r w:rsidRPr="00381028">
              <w:rPr>
                <w:rFonts w:asciiTheme="minorHAnsi" w:eastAsia="Calibri" w:hAnsiTheme="minorHAnsi" w:cs="Calibri"/>
                <w:color w:val="404040"/>
                <w:szCs w:val="22"/>
                <w:lang w:eastAsia="en-US"/>
              </w:rPr>
              <w:t>All EU institutions</w:t>
            </w:r>
          </w:p>
        </w:tc>
      </w:tr>
      <w:tr w:rsidR="00B70A5E" w:rsidRPr="00381028" w:rsidTr="00A21AEF">
        <w:tc>
          <w:tcPr>
            <w:tcW w:w="2730" w:type="dxa"/>
            <w:shd w:val="clear" w:color="auto" w:fill="auto"/>
          </w:tcPr>
          <w:p w:rsidR="00B70A5E" w:rsidRPr="00381028" w:rsidRDefault="00B70A5E" w:rsidP="00381028">
            <w:pPr>
              <w:spacing w:after="240"/>
              <w:jc w:val="left"/>
              <w:rPr>
                <w:rFonts w:asciiTheme="minorHAnsi" w:hAnsiTheme="minorHAnsi"/>
                <w:color w:val="595959" w:themeColor="text1" w:themeTint="A6"/>
              </w:rPr>
            </w:pPr>
            <w:r w:rsidRPr="00381028">
              <w:rPr>
                <w:rFonts w:asciiTheme="minorHAnsi" w:hAnsiTheme="minorHAnsi"/>
                <w:color w:val="595959" w:themeColor="text1" w:themeTint="A6"/>
              </w:rPr>
              <w:t xml:space="preserve">Develop a </w:t>
            </w:r>
            <w:r>
              <w:rPr>
                <w:rFonts w:asciiTheme="minorHAnsi" w:hAnsiTheme="minorHAnsi"/>
                <w:color w:val="595959" w:themeColor="text1" w:themeTint="A6"/>
              </w:rPr>
              <w:t>Eurelectric</w:t>
            </w:r>
            <w:r w:rsidRPr="00381028">
              <w:rPr>
                <w:rFonts w:asciiTheme="minorHAnsi" w:hAnsiTheme="minorHAnsi"/>
                <w:color w:val="595959" w:themeColor="text1" w:themeTint="A6"/>
              </w:rPr>
              <w:t xml:space="preserve"> manifesto on suppliers’ role in the energy transition</w:t>
            </w:r>
          </w:p>
          <w:p w:rsidR="00B70A5E" w:rsidRPr="00381028" w:rsidRDefault="00B70A5E" w:rsidP="00381028">
            <w:pPr>
              <w:spacing w:after="240"/>
              <w:jc w:val="left"/>
              <w:rPr>
                <w:rFonts w:asciiTheme="minorHAnsi" w:hAnsiTheme="minorHAnsi"/>
                <w:color w:val="262626"/>
              </w:rPr>
            </w:pPr>
          </w:p>
        </w:tc>
        <w:tc>
          <w:tcPr>
            <w:tcW w:w="1936" w:type="dxa"/>
          </w:tcPr>
          <w:p w:rsidR="00B70A5E" w:rsidRPr="00381028" w:rsidRDefault="00B70A5E" w:rsidP="00381028">
            <w:pPr>
              <w:snapToGrid w:val="0"/>
              <w:jc w:val="left"/>
              <w:rPr>
                <w:rFonts w:asciiTheme="minorHAnsi" w:eastAsia="Calibri" w:hAnsiTheme="minorHAnsi" w:cs="Calibri"/>
                <w:color w:val="404040"/>
                <w:szCs w:val="22"/>
                <w:lang w:eastAsia="en-US"/>
              </w:rPr>
            </w:pPr>
            <w:r w:rsidRPr="00381028">
              <w:rPr>
                <w:rFonts w:asciiTheme="minorHAnsi" w:eastAsia="Calibri" w:hAnsiTheme="minorHAnsi" w:cs="Calibri"/>
                <w:color w:val="404040"/>
                <w:szCs w:val="22"/>
                <w:lang w:eastAsia="en-US"/>
              </w:rPr>
              <w:t xml:space="preserve">Internal and external workshops </w:t>
            </w:r>
          </w:p>
          <w:p w:rsidR="00B70A5E" w:rsidRPr="00381028" w:rsidRDefault="00B70A5E" w:rsidP="00381028">
            <w:pPr>
              <w:snapToGrid w:val="0"/>
              <w:jc w:val="left"/>
              <w:rPr>
                <w:rFonts w:asciiTheme="minorHAnsi" w:eastAsia="Calibri" w:hAnsiTheme="minorHAnsi" w:cs="Calibri"/>
                <w:color w:val="404040"/>
                <w:szCs w:val="22"/>
                <w:lang w:eastAsia="en-US"/>
              </w:rPr>
            </w:pPr>
          </w:p>
          <w:p w:rsidR="00B70A5E" w:rsidRPr="00381028" w:rsidRDefault="00B70A5E" w:rsidP="00381028">
            <w:pPr>
              <w:snapToGrid w:val="0"/>
              <w:jc w:val="left"/>
              <w:rPr>
                <w:rFonts w:asciiTheme="minorHAnsi" w:eastAsia="Calibri" w:hAnsiTheme="minorHAnsi" w:cs="Calibri"/>
                <w:color w:val="404040"/>
                <w:szCs w:val="22"/>
                <w:lang w:eastAsia="en-US"/>
              </w:rPr>
            </w:pPr>
            <w:r w:rsidRPr="00381028">
              <w:rPr>
                <w:rFonts w:asciiTheme="minorHAnsi" w:eastAsia="Calibri" w:hAnsiTheme="minorHAnsi" w:cs="Calibri"/>
                <w:color w:val="404040"/>
                <w:szCs w:val="22"/>
                <w:lang w:eastAsia="en-US"/>
              </w:rPr>
              <w:t>Manifesto with a clear description of the on-going evolution of the role of suppliers, resulting commitments and requests to policy makers</w:t>
            </w:r>
          </w:p>
          <w:p w:rsidR="00B70A5E" w:rsidRPr="00381028" w:rsidRDefault="00B70A5E" w:rsidP="00381028">
            <w:pPr>
              <w:snapToGrid w:val="0"/>
              <w:jc w:val="left"/>
              <w:rPr>
                <w:rFonts w:asciiTheme="minorHAnsi" w:eastAsia="Calibri" w:hAnsiTheme="minorHAnsi" w:cs="Calibri"/>
                <w:color w:val="404040"/>
                <w:szCs w:val="22"/>
                <w:lang w:eastAsia="en-US"/>
              </w:rPr>
            </w:pPr>
          </w:p>
          <w:p w:rsidR="00B70A5E" w:rsidRPr="00381028" w:rsidRDefault="00B70A5E" w:rsidP="00381028">
            <w:pPr>
              <w:snapToGrid w:val="0"/>
              <w:jc w:val="left"/>
              <w:rPr>
                <w:rFonts w:asciiTheme="minorHAnsi" w:eastAsia="Calibri" w:hAnsiTheme="minorHAnsi" w:cs="Calibri"/>
                <w:color w:val="404040"/>
                <w:szCs w:val="22"/>
                <w:lang w:eastAsia="en-US"/>
              </w:rPr>
            </w:pPr>
            <w:r w:rsidRPr="00381028">
              <w:rPr>
                <w:rFonts w:asciiTheme="minorHAnsi" w:eastAsia="Calibri" w:hAnsiTheme="minorHAnsi" w:cs="Calibri"/>
                <w:color w:val="404040"/>
                <w:szCs w:val="22"/>
                <w:lang w:eastAsia="en-US"/>
              </w:rPr>
              <w:t>High-level conference</w:t>
            </w:r>
          </w:p>
          <w:p w:rsidR="00B70A5E" w:rsidRPr="00381028" w:rsidRDefault="00B70A5E" w:rsidP="00381028">
            <w:pPr>
              <w:snapToGrid w:val="0"/>
              <w:jc w:val="left"/>
              <w:rPr>
                <w:rFonts w:asciiTheme="minorHAnsi" w:eastAsia="Calibri" w:hAnsiTheme="minorHAnsi" w:cs="Calibri"/>
                <w:color w:val="404040"/>
                <w:szCs w:val="22"/>
                <w:lang w:eastAsia="en-US"/>
              </w:rPr>
            </w:pPr>
          </w:p>
          <w:p w:rsidR="00B70A5E" w:rsidRPr="00381028" w:rsidRDefault="00B70A5E" w:rsidP="00381028">
            <w:pPr>
              <w:snapToGrid w:val="0"/>
              <w:jc w:val="left"/>
              <w:rPr>
                <w:rFonts w:asciiTheme="minorHAnsi" w:eastAsia="Calibri" w:hAnsiTheme="minorHAnsi" w:cs="Calibri"/>
                <w:color w:val="404040"/>
                <w:szCs w:val="22"/>
                <w:lang w:eastAsia="en-US"/>
              </w:rPr>
            </w:pPr>
            <w:r w:rsidRPr="00381028">
              <w:rPr>
                <w:rFonts w:asciiTheme="minorHAnsi" w:eastAsia="Calibri" w:hAnsiTheme="minorHAnsi" w:cs="Calibri"/>
                <w:color w:val="404040"/>
                <w:szCs w:val="22"/>
                <w:lang w:eastAsia="en-US"/>
              </w:rPr>
              <w:t xml:space="preserve">Communication campaign </w:t>
            </w:r>
          </w:p>
        </w:tc>
        <w:tc>
          <w:tcPr>
            <w:tcW w:w="1280" w:type="dxa"/>
          </w:tcPr>
          <w:p w:rsidR="00B70A5E" w:rsidRPr="00381028" w:rsidRDefault="00B70A5E" w:rsidP="00381028">
            <w:pPr>
              <w:snapToGrid w:val="0"/>
              <w:jc w:val="left"/>
              <w:rPr>
                <w:rFonts w:asciiTheme="minorHAnsi" w:eastAsia="Calibri" w:hAnsiTheme="minorHAnsi" w:cs="Calibri"/>
                <w:color w:val="404040"/>
                <w:szCs w:val="22"/>
                <w:lang w:eastAsia="en-US"/>
              </w:rPr>
            </w:pPr>
            <w:r w:rsidRPr="00381028">
              <w:rPr>
                <w:rFonts w:asciiTheme="minorHAnsi" w:eastAsia="Calibri" w:hAnsiTheme="minorHAnsi" w:cs="Calibri"/>
                <w:color w:val="404040"/>
                <w:szCs w:val="22"/>
                <w:lang w:eastAsia="en-US"/>
              </w:rPr>
              <w:t>Q2 2018</w:t>
            </w:r>
          </w:p>
        </w:tc>
        <w:tc>
          <w:tcPr>
            <w:tcW w:w="1276" w:type="dxa"/>
            <w:shd w:val="clear" w:color="auto" w:fill="auto"/>
          </w:tcPr>
          <w:p w:rsidR="00B70A5E" w:rsidRPr="00381028" w:rsidRDefault="00B70A5E" w:rsidP="00381028">
            <w:pPr>
              <w:snapToGrid w:val="0"/>
              <w:jc w:val="left"/>
              <w:rPr>
                <w:rFonts w:asciiTheme="minorHAnsi" w:eastAsia="Calibri" w:hAnsiTheme="minorHAnsi" w:cs="Calibri"/>
                <w:color w:val="404040"/>
                <w:szCs w:val="22"/>
                <w:lang w:eastAsia="en-US"/>
              </w:rPr>
            </w:pPr>
            <w:r w:rsidRPr="00381028">
              <w:rPr>
                <w:rFonts w:asciiTheme="minorHAnsi" w:eastAsia="Calibri" w:hAnsiTheme="minorHAnsi" w:cs="Calibri"/>
                <w:color w:val="404040"/>
                <w:szCs w:val="22"/>
                <w:lang w:eastAsia="en-US"/>
              </w:rPr>
              <w:t>Q1 2019</w:t>
            </w:r>
          </w:p>
        </w:tc>
        <w:tc>
          <w:tcPr>
            <w:tcW w:w="2525" w:type="dxa"/>
          </w:tcPr>
          <w:p w:rsidR="00B70A5E" w:rsidRPr="00381028" w:rsidRDefault="00B70A5E" w:rsidP="00381028">
            <w:pPr>
              <w:snapToGrid w:val="0"/>
              <w:jc w:val="left"/>
              <w:rPr>
                <w:rFonts w:asciiTheme="minorHAnsi" w:eastAsia="Calibri" w:hAnsiTheme="minorHAnsi" w:cs="Calibri"/>
                <w:color w:val="404040"/>
                <w:szCs w:val="22"/>
                <w:lang w:eastAsia="en-US"/>
              </w:rPr>
            </w:pPr>
            <w:r w:rsidRPr="00381028">
              <w:rPr>
                <w:rFonts w:asciiTheme="minorHAnsi" w:eastAsia="Calibri" w:hAnsiTheme="minorHAnsi" w:cs="Calibri"/>
                <w:color w:val="404040"/>
                <w:szCs w:val="22"/>
                <w:lang w:eastAsia="en-US"/>
              </w:rPr>
              <w:t>All EU Institutions and stakeholder associat</w:t>
            </w:r>
            <w:r>
              <w:rPr>
                <w:rFonts w:asciiTheme="minorHAnsi" w:eastAsia="Calibri" w:hAnsiTheme="minorHAnsi" w:cs="Calibri"/>
                <w:color w:val="404040"/>
                <w:szCs w:val="22"/>
                <w:lang w:eastAsia="en-US"/>
              </w:rPr>
              <w:t xml:space="preserve">ions such as BEUC, </w:t>
            </w:r>
            <w:proofErr w:type="spellStart"/>
            <w:r>
              <w:rPr>
                <w:rFonts w:asciiTheme="minorHAnsi" w:eastAsia="Calibri" w:hAnsiTheme="minorHAnsi" w:cs="Calibri"/>
                <w:color w:val="404040"/>
                <w:szCs w:val="22"/>
                <w:lang w:eastAsia="en-US"/>
              </w:rPr>
              <w:t>Rescoop</w:t>
            </w:r>
            <w:proofErr w:type="spellEnd"/>
            <w:r>
              <w:rPr>
                <w:rFonts w:asciiTheme="minorHAnsi" w:eastAsia="Calibri" w:hAnsiTheme="minorHAnsi" w:cs="Calibri"/>
                <w:color w:val="404040"/>
                <w:szCs w:val="22"/>
                <w:lang w:eastAsia="en-US"/>
              </w:rPr>
              <w:t xml:space="preserve">, </w:t>
            </w:r>
            <w:proofErr w:type="spellStart"/>
            <w:r>
              <w:rPr>
                <w:rFonts w:asciiTheme="minorHAnsi" w:eastAsia="Calibri" w:hAnsiTheme="minorHAnsi" w:cs="Calibri"/>
                <w:color w:val="404040"/>
                <w:szCs w:val="22"/>
                <w:lang w:eastAsia="en-US"/>
              </w:rPr>
              <w:t>etc</w:t>
            </w:r>
            <w:proofErr w:type="spellEnd"/>
            <w:r w:rsidRPr="00381028">
              <w:rPr>
                <w:rFonts w:asciiTheme="minorHAnsi" w:eastAsia="Calibri" w:hAnsiTheme="minorHAnsi" w:cs="Calibri"/>
                <w:color w:val="404040"/>
                <w:szCs w:val="22"/>
                <w:lang w:eastAsia="en-US"/>
              </w:rPr>
              <w:t xml:space="preserve">  </w:t>
            </w:r>
          </w:p>
        </w:tc>
      </w:tr>
      <w:tr w:rsidR="00B70A5E" w:rsidRPr="00381028" w:rsidTr="00A21AEF">
        <w:tc>
          <w:tcPr>
            <w:tcW w:w="2730" w:type="dxa"/>
            <w:shd w:val="clear" w:color="auto" w:fill="auto"/>
          </w:tcPr>
          <w:p w:rsidR="00B70A5E" w:rsidRPr="00381028" w:rsidRDefault="00B70A5E" w:rsidP="00381028">
            <w:pPr>
              <w:spacing w:after="240"/>
              <w:jc w:val="left"/>
              <w:rPr>
                <w:rFonts w:asciiTheme="minorHAnsi" w:hAnsiTheme="minorHAnsi"/>
                <w:color w:val="595959" w:themeColor="text1" w:themeTint="A6"/>
              </w:rPr>
            </w:pPr>
            <w:r w:rsidRPr="00381028">
              <w:rPr>
                <w:rFonts w:asciiTheme="minorHAnsi" w:hAnsiTheme="minorHAnsi"/>
                <w:color w:val="595959" w:themeColor="text1" w:themeTint="A6"/>
              </w:rPr>
              <w:t>Influence Consumer package</w:t>
            </w:r>
          </w:p>
          <w:p w:rsidR="00B70A5E" w:rsidRPr="00381028" w:rsidRDefault="00B70A5E" w:rsidP="00381028">
            <w:pPr>
              <w:spacing w:after="240"/>
              <w:jc w:val="left"/>
              <w:rPr>
                <w:rFonts w:asciiTheme="minorHAnsi" w:hAnsiTheme="minorHAnsi"/>
                <w:color w:val="595959" w:themeColor="text1" w:themeTint="A6"/>
              </w:rPr>
            </w:pPr>
          </w:p>
        </w:tc>
        <w:tc>
          <w:tcPr>
            <w:tcW w:w="1936" w:type="dxa"/>
          </w:tcPr>
          <w:p w:rsidR="00B70A5E" w:rsidRPr="00381028" w:rsidRDefault="00B70A5E" w:rsidP="00381028">
            <w:pPr>
              <w:snapToGrid w:val="0"/>
              <w:jc w:val="left"/>
              <w:rPr>
                <w:rFonts w:asciiTheme="minorHAnsi" w:eastAsia="Calibri" w:hAnsiTheme="minorHAnsi" w:cs="Calibri"/>
                <w:color w:val="404040"/>
                <w:szCs w:val="22"/>
                <w:lang w:eastAsia="en-US"/>
              </w:rPr>
            </w:pPr>
            <w:r w:rsidRPr="00381028">
              <w:rPr>
                <w:rFonts w:asciiTheme="minorHAnsi" w:eastAsia="Calibri" w:hAnsiTheme="minorHAnsi" w:cs="Calibri"/>
                <w:color w:val="404040"/>
                <w:szCs w:val="22"/>
                <w:lang w:eastAsia="en-US"/>
              </w:rPr>
              <w:t>Position papers, joint statements, bilateral meetings.</w:t>
            </w:r>
          </w:p>
          <w:p w:rsidR="00B70A5E" w:rsidRPr="00381028" w:rsidRDefault="00B70A5E" w:rsidP="00381028">
            <w:pPr>
              <w:snapToGrid w:val="0"/>
              <w:jc w:val="left"/>
              <w:rPr>
                <w:rFonts w:asciiTheme="minorHAnsi" w:eastAsia="Calibri" w:hAnsiTheme="minorHAnsi" w:cs="Calibri"/>
                <w:color w:val="404040"/>
                <w:szCs w:val="22"/>
                <w:lang w:eastAsia="en-US"/>
              </w:rPr>
            </w:pPr>
          </w:p>
          <w:p w:rsidR="00B70A5E" w:rsidRPr="00381028" w:rsidRDefault="00B70A5E" w:rsidP="00381028">
            <w:pPr>
              <w:snapToGrid w:val="0"/>
              <w:jc w:val="left"/>
              <w:rPr>
                <w:rFonts w:asciiTheme="minorHAnsi" w:eastAsia="Calibri" w:hAnsiTheme="minorHAnsi" w:cs="Calibri"/>
                <w:color w:val="404040"/>
                <w:szCs w:val="22"/>
                <w:lang w:eastAsia="en-US"/>
              </w:rPr>
            </w:pPr>
            <w:r w:rsidRPr="00381028">
              <w:rPr>
                <w:rFonts w:asciiTheme="minorHAnsi" w:eastAsia="Calibri" w:hAnsiTheme="minorHAnsi" w:cs="Calibri"/>
                <w:color w:val="404040"/>
                <w:szCs w:val="22"/>
                <w:lang w:eastAsia="en-US"/>
              </w:rPr>
              <w:t xml:space="preserve">Facts sheets on commercial processes </w:t>
            </w:r>
          </w:p>
        </w:tc>
        <w:tc>
          <w:tcPr>
            <w:tcW w:w="1280" w:type="dxa"/>
          </w:tcPr>
          <w:p w:rsidR="00B70A5E" w:rsidRPr="00381028" w:rsidRDefault="00B70A5E" w:rsidP="00381028">
            <w:pPr>
              <w:snapToGrid w:val="0"/>
              <w:jc w:val="left"/>
              <w:rPr>
                <w:rFonts w:asciiTheme="minorHAnsi" w:eastAsia="Calibri" w:hAnsiTheme="minorHAnsi" w:cs="Calibri"/>
                <w:color w:val="404040"/>
                <w:szCs w:val="22"/>
                <w:lang w:eastAsia="en-US"/>
              </w:rPr>
            </w:pPr>
            <w:r w:rsidRPr="00381028">
              <w:rPr>
                <w:rFonts w:asciiTheme="minorHAnsi" w:eastAsia="Calibri" w:hAnsiTheme="minorHAnsi" w:cs="Calibri"/>
                <w:color w:val="404040"/>
                <w:szCs w:val="22"/>
                <w:lang w:eastAsia="en-US"/>
              </w:rPr>
              <w:t>Q2 2018</w:t>
            </w:r>
          </w:p>
        </w:tc>
        <w:tc>
          <w:tcPr>
            <w:tcW w:w="1276" w:type="dxa"/>
            <w:shd w:val="clear" w:color="auto" w:fill="auto"/>
          </w:tcPr>
          <w:p w:rsidR="00B70A5E" w:rsidRPr="00381028" w:rsidRDefault="00B70A5E" w:rsidP="00381028">
            <w:pPr>
              <w:snapToGrid w:val="0"/>
              <w:jc w:val="left"/>
              <w:rPr>
                <w:rFonts w:asciiTheme="minorHAnsi" w:eastAsia="Calibri" w:hAnsiTheme="minorHAnsi" w:cs="Calibri"/>
                <w:color w:val="404040"/>
                <w:szCs w:val="22"/>
                <w:lang w:eastAsia="en-US"/>
              </w:rPr>
            </w:pPr>
            <w:r w:rsidRPr="00381028">
              <w:rPr>
                <w:rFonts w:asciiTheme="minorHAnsi" w:eastAsia="Calibri" w:hAnsiTheme="minorHAnsi" w:cs="Calibri"/>
                <w:color w:val="404040"/>
                <w:szCs w:val="22"/>
                <w:lang w:eastAsia="en-US"/>
              </w:rPr>
              <w:t>Q4 2018</w:t>
            </w:r>
          </w:p>
        </w:tc>
        <w:tc>
          <w:tcPr>
            <w:tcW w:w="2525" w:type="dxa"/>
          </w:tcPr>
          <w:p w:rsidR="00B70A5E" w:rsidRPr="00381028" w:rsidRDefault="00B70A5E" w:rsidP="00381028">
            <w:pPr>
              <w:snapToGrid w:val="0"/>
              <w:jc w:val="left"/>
              <w:rPr>
                <w:rFonts w:asciiTheme="minorHAnsi" w:eastAsia="Calibri" w:hAnsiTheme="minorHAnsi" w:cs="Calibri"/>
                <w:color w:val="404040"/>
                <w:szCs w:val="22"/>
                <w:lang w:eastAsia="en-US"/>
              </w:rPr>
            </w:pPr>
            <w:r w:rsidRPr="00381028">
              <w:rPr>
                <w:rFonts w:asciiTheme="minorHAnsi" w:eastAsia="Calibri" w:hAnsiTheme="minorHAnsi" w:cs="Calibri"/>
                <w:color w:val="404040"/>
                <w:szCs w:val="22"/>
                <w:lang w:eastAsia="en-US"/>
              </w:rPr>
              <w:t>All EU Institutions, regulators</w:t>
            </w:r>
          </w:p>
        </w:tc>
      </w:tr>
      <w:tr w:rsidR="00B70A5E" w:rsidRPr="00381028" w:rsidTr="00A21AEF">
        <w:tc>
          <w:tcPr>
            <w:tcW w:w="2730" w:type="dxa"/>
            <w:shd w:val="clear" w:color="auto" w:fill="auto"/>
          </w:tcPr>
          <w:p w:rsidR="00B70A5E" w:rsidRPr="00381028" w:rsidRDefault="00B70A5E" w:rsidP="00381028">
            <w:pPr>
              <w:spacing w:after="240"/>
              <w:jc w:val="left"/>
              <w:rPr>
                <w:rFonts w:asciiTheme="minorHAnsi" w:hAnsiTheme="minorHAnsi"/>
                <w:color w:val="595959" w:themeColor="text1" w:themeTint="A6"/>
              </w:rPr>
            </w:pPr>
            <w:r w:rsidRPr="00381028">
              <w:rPr>
                <w:rFonts w:asciiTheme="minorHAnsi" w:hAnsiTheme="minorHAnsi"/>
                <w:color w:val="595959" w:themeColor="text1" w:themeTint="A6"/>
              </w:rPr>
              <w:t>Input to digital single market strategy and data regulation, engage with institutions</w:t>
            </w:r>
          </w:p>
        </w:tc>
        <w:tc>
          <w:tcPr>
            <w:tcW w:w="1936" w:type="dxa"/>
          </w:tcPr>
          <w:p w:rsidR="00B70A5E" w:rsidRPr="00381028" w:rsidRDefault="00B70A5E" w:rsidP="00381028">
            <w:pPr>
              <w:snapToGrid w:val="0"/>
              <w:jc w:val="left"/>
              <w:rPr>
                <w:rFonts w:asciiTheme="minorHAnsi" w:eastAsia="Calibri" w:hAnsiTheme="minorHAnsi" w:cs="Calibri"/>
                <w:color w:val="404040"/>
                <w:szCs w:val="22"/>
                <w:lang w:eastAsia="en-US"/>
              </w:rPr>
            </w:pPr>
          </w:p>
        </w:tc>
        <w:tc>
          <w:tcPr>
            <w:tcW w:w="1280" w:type="dxa"/>
          </w:tcPr>
          <w:p w:rsidR="00B70A5E" w:rsidRPr="00381028" w:rsidRDefault="00B70A5E" w:rsidP="00381028">
            <w:pPr>
              <w:snapToGrid w:val="0"/>
              <w:jc w:val="left"/>
              <w:rPr>
                <w:rFonts w:asciiTheme="minorHAnsi" w:eastAsia="Calibri" w:hAnsiTheme="minorHAnsi" w:cs="Calibri"/>
                <w:color w:val="404040"/>
                <w:szCs w:val="22"/>
                <w:lang w:eastAsia="en-US"/>
              </w:rPr>
            </w:pPr>
            <w:proofErr w:type="spellStart"/>
            <w:r w:rsidRPr="00381028">
              <w:rPr>
                <w:rFonts w:asciiTheme="minorHAnsi" w:eastAsia="Calibri" w:hAnsiTheme="minorHAnsi" w:cs="Calibri"/>
                <w:color w:val="404040"/>
                <w:szCs w:val="22"/>
                <w:lang w:eastAsia="en-US"/>
              </w:rPr>
              <w:t>tbd</w:t>
            </w:r>
            <w:proofErr w:type="spellEnd"/>
          </w:p>
        </w:tc>
        <w:tc>
          <w:tcPr>
            <w:tcW w:w="1276" w:type="dxa"/>
            <w:shd w:val="clear" w:color="auto" w:fill="auto"/>
          </w:tcPr>
          <w:p w:rsidR="00B70A5E" w:rsidRPr="00381028" w:rsidRDefault="00B70A5E" w:rsidP="00381028">
            <w:pPr>
              <w:snapToGrid w:val="0"/>
              <w:jc w:val="left"/>
              <w:rPr>
                <w:rFonts w:asciiTheme="minorHAnsi" w:eastAsia="Calibri" w:hAnsiTheme="minorHAnsi" w:cs="Calibri"/>
                <w:color w:val="404040"/>
                <w:szCs w:val="22"/>
                <w:lang w:eastAsia="en-US"/>
              </w:rPr>
            </w:pPr>
            <w:proofErr w:type="spellStart"/>
            <w:r w:rsidRPr="00381028">
              <w:rPr>
                <w:rFonts w:asciiTheme="minorHAnsi" w:eastAsia="Calibri" w:hAnsiTheme="minorHAnsi" w:cs="Calibri"/>
                <w:color w:val="404040"/>
                <w:szCs w:val="22"/>
                <w:lang w:eastAsia="en-US"/>
              </w:rPr>
              <w:t>tbd</w:t>
            </w:r>
            <w:proofErr w:type="spellEnd"/>
          </w:p>
        </w:tc>
        <w:tc>
          <w:tcPr>
            <w:tcW w:w="2525" w:type="dxa"/>
          </w:tcPr>
          <w:p w:rsidR="00B70A5E" w:rsidRPr="00381028" w:rsidRDefault="00B70A5E" w:rsidP="00381028">
            <w:pPr>
              <w:snapToGrid w:val="0"/>
              <w:jc w:val="left"/>
              <w:rPr>
                <w:rFonts w:asciiTheme="minorHAnsi" w:eastAsia="Calibri" w:hAnsiTheme="minorHAnsi" w:cs="Calibri"/>
                <w:color w:val="404040"/>
                <w:szCs w:val="22"/>
                <w:lang w:eastAsia="en-US"/>
              </w:rPr>
            </w:pPr>
            <w:r w:rsidRPr="00381028">
              <w:rPr>
                <w:rFonts w:asciiTheme="minorHAnsi" w:eastAsia="Calibri" w:hAnsiTheme="minorHAnsi" w:cs="Calibri"/>
                <w:color w:val="404040"/>
                <w:szCs w:val="22"/>
                <w:lang w:eastAsia="en-US"/>
              </w:rPr>
              <w:t>EU institutions, regulators</w:t>
            </w:r>
          </w:p>
        </w:tc>
      </w:tr>
      <w:tr w:rsidR="00B70A5E" w:rsidRPr="00381028" w:rsidTr="00A21AEF">
        <w:tc>
          <w:tcPr>
            <w:tcW w:w="2730" w:type="dxa"/>
            <w:shd w:val="clear" w:color="auto" w:fill="auto"/>
          </w:tcPr>
          <w:p w:rsidR="00B70A5E" w:rsidRPr="00381028" w:rsidRDefault="00B70A5E" w:rsidP="00381028">
            <w:pPr>
              <w:spacing w:after="240"/>
              <w:jc w:val="left"/>
              <w:rPr>
                <w:rFonts w:asciiTheme="minorHAnsi" w:hAnsiTheme="minorHAnsi"/>
                <w:color w:val="595959" w:themeColor="text1" w:themeTint="A6"/>
              </w:rPr>
            </w:pPr>
            <w:r w:rsidRPr="00381028">
              <w:rPr>
                <w:rFonts w:asciiTheme="minorHAnsi" w:hAnsiTheme="minorHAnsi"/>
                <w:color w:val="595959" w:themeColor="text1" w:themeTint="A6"/>
              </w:rPr>
              <w:t>Develop business intelligence on key consumer and retail issues</w:t>
            </w:r>
          </w:p>
        </w:tc>
        <w:tc>
          <w:tcPr>
            <w:tcW w:w="1936" w:type="dxa"/>
          </w:tcPr>
          <w:p w:rsidR="00B70A5E" w:rsidRPr="00381028" w:rsidRDefault="00B70A5E" w:rsidP="00381028">
            <w:pPr>
              <w:snapToGrid w:val="0"/>
              <w:jc w:val="left"/>
              <w:rPr>
                <w:rFonts w:asciiTheme="minorHAnsi" w:eastAsia="Calibri" w:hAnsiTheme="minorHAnsi" w:cs="Calibri"/>
                <w:color w:val="404040"/>
                <w:szCs w:val="22"/>
                <w:lang w:eastAsia="en-US"/>
              </w:rPr>
            </w:pPr>
            <w:r w:rsidRPr="00381028">
              <w:rPr>
                <w:rFonts w:asciiTheme="minorHAnsi" w:eastAsia="Calibri" w:hAnsiTheme="minorHAnsi" w:cs="Calibri"/>
                <w:color w:val="404040"/>
                <w:szCs w:val="22"/>
                <w:lang w:eastAsia="en-US"/>
              </w:rPr>
              <w:t xml:space="preserve">Investigate state of play and role of Guarantees of Origins – internal workshop + policy </w:t>
            </w:r>
            <w:r w:rsidRPr="00381028">
              <w:rPr>
                <w:rFonts w:asciiTheme="minorHAnsi" w:eastAsia="Calibri" w:hAnsiTheme="minorHAnsi" w:cs="Calibri"/>
                <w:color w:val="404040"/>
                <w:szCs w:val="22"/>
                <w:lang w:eastAsia="en-US"/>
              </w:rPr>
              <w:lastRenderedPageBreak/>
              <w:t>recommendations</w:t>
            </w:r>
          </w:p>
          <w:p w:rsidR="00B70A5E" w:rsidRPr="00381028" w:rsidRDefault="00B70A5E" w:rsidP="00381028">
            <w:pPr>
              <w:snapToGrid w:val="0"/>
              <w:jc w:val="left"/>
              <w:rPr>
                <w:rFonts w:asciiTheme="minorHAnsi" w:eastAsia="Calibri" w:hAnsiTheme="minorHAnsi" w:cs="Calibri"/>
                <w:color w:val="404040"/>
                <w:szCs w:val="22"/>
                <w:lang w:eastAsia="en-US"/>
              </w:rPr>
            </w:pPr>
          </w:p>
          <w:p w:rsidR="00B70A5E" w:rsidRPr="00381028" w:rsidRDefault="00B70A5E" w:rsidP="00381028">
            <w:pPr>
              <w:snapToGrid w:val="0"/>
              <w:jc w:val="left"/>
              <w:rPr>
                <w:rFonts w:asciiTheme="minorHAnsi" w:eastAsia="Calibri" w:hAnsiTheme="minorHAnsi" w:cs="Calibri"/>
                <w:color w:val="404040"/>
                <w:szCs w:val="22"/>
                <w:lang w:eastAsia="en-US"/>
              </w:rPr>
            </w:pPr>
            <w:r w:rsidRPr="00381028">
              <w:rPr>
                <w:rFonts w:asciiTheme="minorHAnsi" w:eastAsia="Calibri" w:hAnsiTheme="minorHAnsi" w:cs="Calibri"/>
                <w:color w:val="404040"/>
                <w:szCs w:val="22"/>
                <w:lang w:eastAsia="en-US"/>
              </w:rPr>
              <w:t>Local energy communities, business models and contractual arrangements, energy poverty</w:t>
            </w:r>
          </w:p>
        </w:tc>
        <w:tc>
          <w:tcPr>
            <w:tcW w:w="1280" w:type="dxa"/>
          </w:tcPr>
          <w:p w:rsidR="00B70A5E" w:rsidRPr="00381028" w:rsidRDefault="00B70A5E" w:rsidP="00381028">
            <w:pPr>
              <w:snapToGrid w:val="0"/>
              <w:jc w:val="left"/>
              <w:rPr>
                <w:rFonts w:asciiTheme="minorHAnsi" w:eastAsia="Calibri" w:hAnsiTheme="minorHAnsi" w:cs="Calibri"/>
                <w:color w:val="404040"/>
                <w:szCs w:val="22"/>
                <w:lang w:eastAsia="en-US"/>
              </w:rPr>
            </w:pPr>
            <w:proofErr w:type="spellStart"/>
            <w:r w:rsidRPr="00381028">
              <w:rPr>
                <w:rFonts w:asciiTheme="minorHAnsi" w:eastAsia="Calibri" w:hAnsiTheme="minorHAnsi" w:cs="Calibri"/>
                <w:color w:val="404040"/>
                <w:szCs w:val="22"/>
                <w:lang w:eastAsia="en-US"/>
              </w:rPr>
              <w:lastRenderedPageBreak/>
              <w:t>tbd</w:t>
            </w:r>
            <w:proofErr w:type="spellEnd"/>
          </w:p>
        </w:tc>
        <w:tc>
          <w:tcPr>
            <w:tcW w:w="1276" w:type="dxa"/>
            <w:shd w:val="clear" w:color="auto" w:fill="auto"/>
          </w:tcPr>
          <w:p w:rsidR="00B70A5E" w:rsidRPr="00381028" w:rsidRDefault="00B70A5E" w:rsidP="00381028">
            <w:pPr>
              <w:snapToGrid w:val="0"/>
              <w:jc w:val="left"/>
              <w:rPr>
                <w:rFonts w:asciiTheme="minorHAnsi" w:eastAsia="Calibri" w:hAnsiTheme="minorHAnsi" w:cs="Calibri"/>
                <w:color w:val="404040"/>
                <w:szCs w:val="22"/>
                <w:lang w:eastAsia="en-US"/>
              </w:rPr>
            </w:pPr>
            <w:proofErr w:type="spellStart"/>
            <w:r w:rsidRPr="00381028">
              <w:rPr>
                <w:rFonts w:asciiTheme="minorHAnsi" w:eastAsia="Calibri" w:hAnsiTheme="minorHAnsi" w:cs="Calibri"/>
                <w:color w:val="404040"/>
                <w:szCs w:val="22"/>
                <w:lang w:eastAsia="en-US"/>
              </w:rPr>
              <w:t>tbd</w:t>
            </w:r>
            <w:proofErr w:type="spellEnd"/>
          </w:p>
        </w:tc>
        <w:tc>
          <w:tcPr>
            <w:tcW w:w="2525" w:type="dxa"/>
          </w:tcPr>
          <w:p w:rsidR="00B70A5E" w:rsidRPr="00381028" w:rsidRDefault="00B70A5E" w:rsidP="00381028">
            <w:pPr>
              <w:snapToGrid w:val="0"/>
              <w:jc w:val="left"/>
              <w:rPr>
                <w:rFonts w:asciiTheme="minorHAnsi" w:eastAsia="Calibri" w:hAnsiTheme="minorHAnsi" w:cs="Calibri"/>
                <w:color w:val="404040"/>
                <w:szCs w:val="22"/>
                <w:lang w:eastAsia="en-US"/>
              </w:rPr>
            </w:pPr>
            <w:r w:rsidRPr="00381028">
              <w:rPr>
                <w:rFonts w:asciiTheme="minorHAnsi" w:eastAsia="Calibri" w:hAnsiTheme="minorHAnsi" w:cs="Calibri"/>
                <w:color w:val="404040"/>
                <w:szCs w:val="22"/>
                <w:lang w:eastAsia="en-US"/>
              </w:rPr>
              <w:t>EU institutions, regulators</w:t>
            </w:r>
          </w:p>
        </w:tc>
      </w:tr>
      <w:tr w:rsidR="00B70A5E" w:rsidRPr="00A2710D" w:rsidTr="00A21AEF">
        <w:tc>
          <w:tcPr>
            <w:tcW w:w="2730" w:type="dxa"/>
            <w:shd w:val="clear" w:color="auto" w:fill="auto"/>
          </w:tcPr>
          <w:p w:rsidR="00B70A5E" w:rsidRPr="00381028" w:rsidRDefault="00B70A5E" w:rsidP="00381028">
            <w:pPr>
              <w:spacing w:after="240"/>
              <w:jc w:val="left"/>
              <w:rPr>
                <w:rFonts w:asciiTheme="minorHAnsi" w:hAnsiTheme="minorHAnsi"/>
                <w:color w:val="595959" w:themeColor="text1" w:themeTint="A6"/>
              </w:rPr>
            </w:pPr>
            <w:r w:rsidRPr="00381028">
              <w:rPr>
                <w:rFonts w:asciiTheme="minorHAnsi" w:hAnsiTheme="minorHAnsi"/>
                <w:color w:val="595959" w:themeColor="text1" w:themeTint="A6"/>
              </w:rPr>
              <w:t>Input to the internal Electrification and Decarbonisation study with McKinsey</w:t>
            </w:r>
          </w:p>
        </w:tc>
        <w:tc>
          <w:tcPr>
            <w:tcW w:w="1936" w:type="dxa"/>
          </w:tcPr>
          <w:p w:rsidR="00B70A5E" w:rsidRPr="00381028" w:rsidRDefault="00B70A5E" w:rsidP="00381028">
            <w:pPr>
              <w:snapToGrid w:val="0"/>
              <w:jc w:val="left"/>
              <w:rPr>
                <w:rFonts w:asciiTheme="minorHAnsi" w:eastAsia="Calibri" w:hAnsiTheme="minorHAnsi" w:cs="Calibri"/>
                <w:color w:val="595959" w:themeColor="text1" w:themeTint="A6"/>
                <w:szCs w:val="22"/>
                <w:lang w:eastAsia="en-US"/>
              </w:rPr>
            </w:pPr>
            <w:r w:rsidRPr="00381028">
              <w:rPr>
                <w:rFonts w:asciiTheme="minorHAnsi" w:eastAsia="Calibri" w:hAnsiTheme="minorHAnsi" w:cs="Calibri"/>
                <w:color w:val="595959" w:themeColor="text1" w:themeTint="A6"/>
                <w:szCs w:val="22"/>
                <w:lang w:eastAsia="en-US"/>
              </w:rPr>
              <w:t>Internal workshops on decarbonisation and electrification</w:t>
            </w:r>
          </w:p>
        </w:tc>
        <w:tc>
          <w:tcPr>
            <w:tcW w:w="1280" w:type="dxa"/>
          </w:tcPr>
          <w:p w:rsidR="00B70A5E" w:rsidRPr="00381028" w:rsidRDefault="00B70A5E" w:rsidP="00381028">
            <w:pPr>
              <w:snapToGrid w:val="0"/>
              <w:jc w:val="left"/>
              <w:rPr>
                <w:rFonts w:asciiTheme="minorHAnsi" w:eastAsia="Calibri" w:hAnsiTheme="minorHAnsi" w:cs="Calibri"/>
                <w:color w:val="595959" w:themeColor="text1" w:themeTint="A6"/>
                <w:szCs w:val="22"/>
                <w:lang w:eastAsia="en-US"/>
              </w:rPr>
            </w:pPr>
            <w:r w:rsidRPr="00381028">
              <w:rPr>
                <w:rFonts w:asciiTheme="minorHAnsi" w:eastAsia="Calibri" w:hAnsiTheme="minorHAnsi" w:cs="Calibri"/>
                <w:color w:val="595959" w:themeColor="text1" w:themeTint="A6"/>
                <w:szCs w:val="22"/>
                <w:lang w:eastAsia="en-US"/>
              </w:rPr>
              <w:t>Q2 2018</w:t>
            </w:r>
          </w:p>
        </w:tc>
        <w:tc>
          <w:tcPr>
            <w:tcW w:w="1276" w:type="dxa"/>
            <w:shd w:val="clear" w:color="auto" w:fill="auto"/>
          </w:tcPr>
          <w:p w:rsidR="00B70A5E" w:rsidRPr="00381028" w:rsidRDefault="00B70A5E" w:rsidP="00381028">
            <w:pPr>
              <w:snapToGrid w:val="0"/>
              <w:jc w:val="left"/>
              <w:rPr>
                <w:rFonts w:asciiTheme="minorHAnsi" w:eastAsia="Calibri" w:hAnsiTheme="minorHAnsi" w:cs="Calibri"/>
                <w:color w:val="595959" w:themeColor="text1" w:themeTint="A6"/>
                <w:szCs w:val="22"/>
                <w:lang w:eastAsia="en-US"/>
              </w:rPr>
            </w:pPr>
            <w:r w:rsidRPr="00381028">
              <w:rPr>
                <w:rFonts w:asciiTheme="minorHAnsi" w:eastAsia="Calibri" w:hAnsiTheme="minorHAnsi" w:cs="Calibri"/>
                <w:color w:val="595959" w:themeColor="text1" w:themeTint="A6"/>
                <w:szCs w:val="22"/>
                <w:lang w:eastAsia="en-US"/>
              </w:rPr>
              <w:t>Q4 2018</w:t>
            </w:r>
          </w:p>
        </w:tc>
        <w:tc>
          <w:tcPr>
            <w:tcW w:w="2525" w:type="dxa"/>
          </w:tcPr>
          <w:p w:rsidR="00B70A5E" w:rsidRPr="00803D75" w:rsidRDefault="00B70A5E" w:rsidP="00381028">
            <w:pPr>
              <w:snapToGrid w:val="0"/>
              <w:jc w:val="left"/>
              <w:rPr>
                <w:rFonts w:asciiTheme="minorHAnsi" w:eastAsia="Calibri" w:hAnsiTheme="minorHAnsi" w:cs="Calibri"/>
                <w:color w:val="595959" w:themeColor="text1" w:themeTint="A6"/>
                <w:szCs w:val="22"/>
                <w:lang w:val="fr-BE" w:eastAsia="en-US"/>
              </w:rPr>
            </w:pPr>
            <w:r w:rsidRPr="00803D75">
              <w:rPr>
                <w:rFonts w:asciiTheme="minorHAnsi" w:eastAsia="Calibri" w:hAnsiTheme="minorHAnsi" w:cs="Calibri"/>
                <w:color w:val="595959" w:themeColor="text1" w:themeTint="A6"/>
                <w:szCs w:val="22"/>
                <w:lang w:val="fr-BE" w:eastAsia="en-US"/>
              </w:rPr>
              <w:t xml:space="preserve">EU institutions, </w:t>
            </w:r>
            <w:proofErr w:type="spellStart"/>
            <w:r w:rsidRPr="00803D75">
              <w:rPr>
                <w:rFonts w:asciiTheme="minorHAnsi" w:eastAsia="Calibri" w:hAnsiTheme="minorHAnsi" w:cs="Calibri"/>
                <w:color w:val="595959" w:themeColor="text1" w:themeTint="A6"/>
                <w:szCs w:val="22"/>
                <w:lang w:val="fr-BE" w:eastAsia="en-US"/>
              </w:rPr>
              <w:t>stakeholder</w:t>
            </w:r>
            <w:proofErr w:type="spellEnd"/>
            <w:r w:rsidRPr="00803D75">
              <w:rPr>
                <w:rFonts w:asciiTheme="minorHAnsi" w:eastAsia="Calibri" w:hAnsiTheme="minorHAnsi" w:cs="Calibri"/>
                <w:color w:val="595959" w:themeColor="text1" w:themeTint="A6"/>
                <w:szCs w:val="22"/>
                <w:lang w:val="fr-BE" w:eastAsia="en-US"/>
              </w:rPr>
              <w:t xml:space="preserve"> associations (</w:t>
            </w:r>
            <w:proofErr w:type="spellStart"/>
            <w:r w:rsidRPr="00803D75">
              <w:rPr>
                <w:rFonts w:asciiTheme="minorHAnsi" w:eastAsia="Calibri" w:hAnsiTheme="minorHAnsi" w:cs="Calibri"/>
                <w:color w:val="595959" w:themeColor="text1" w:themeTint="A6"/>
                <w:szCs w:val="22"/>
                <w:lang w:val="fr-BE" w:eastAsia="en-US"/>
              </w:rPr>
              <w:t>sector</w:t>
            </w:r>
            <w:proofErr w:type="spellEnd"/>
            <w:r w:rsidRPr="00803D75">
              <w:rPr>
                <w:rFonts w:asciiTheme="minorHAnsi" w:eastAsia="Calibri" w:hAnsiTheme="minorHAnsi" w:cs="Calibri"/>
                <w:color w:val="595959" w:themeColor="text1" w:themeTint="A6"/>
                <w:szCs w:val="22"/>
                <w:lang w:val="fr-BE" w:eastAsia="en-US"/>
              </w:rPr>
              <w:t xml:space="preserve"> associations, </w:t>
            </w:r>
            <w:proofErr w:type="spellStart"/>
            <w:r w:rsidRPr="00803D75">
              <w:rPr>
                <w:rFonts w:asciiTheme="minorHAnsi" w:eastAsia="Calibri" w:hAnsiTheme="minorHAnsi" w:cs="Calibri"/>
                <w:color w:val="595959" w:themeColor="text1" w:themeTint="A6"/>
                <w:szCs w:val="22"/>
                <w:lang w:val="fr-BE" w:eastAsia="en-US"/>
              </w:rPr>
              <w:t>NGOs</w:t>
            </w:r>
            <w:proofErr w:type="spellEnd"/>
            <w:r w:rsidRPr="00803D75">
              <w:rPr>
                <w:rFonts w:asciiTheme="minorHAnsi" w:eastAsia="Calibri" w:hAnsiTheme="minorHAnsi" w:cs="Calibri"/>
                <w:color w:val="595959" w:themeColor="text1" w:themeTint="A6"/>
                <w:szCs w:val="22"/>
                <w:lang w:val="fr-BE" w:eastAsia="en-US"/>
              </w:rPr>
              <w:t xml:space="preserve">, </w:t>
            </w:r>
            <w:proofErr w:type="spellStart"/>
            <w:r w:rsidRPr="00803D75">
              <w:rPr>
                <w:rFonts w:asciiTheme="minorHAnsi" w:eastAsia="Calibri" w:hAnsiTheme="minorHAnsi" w:cs="Calibri"/>
                <w:color w:val="595959" w:themeColor="text1" w:themeTint="A6"/>
                <w:szCs w:val="22"/>
                <w:lang w:val="fr-BE" w:eastAsia="en-US"/>
              </w:rPr>
              <w:t>etc</w:t>
            </w:r>
            <w:proofErr w:type="spellEnd"/>
            <w:r w:rsidRPr="00803D75">
              <w:rPr>
                <w:rFonts w:asciiTheme="minorHAnsi" w:eastAsia="Calibri" w:hAnsiTheme="minorHAnsi" w:cs="Calibri"/>
                <w:color w:val="595959" w:themeColor="text1" w:themeTint="A6"/>
                <w:szCs w:val="22"/>
                <w:lang w:val="fr-BE" w:eastAsia="en-US"/>
              </w:rPr>
              <w:t>)</w:t>
            </w:r>
          </w:p>
        </w:tc>
      </w:tr>
      <w:tr w:rsidR="00B70A5E" w:rsidRPr="00381028" w:rsidTr="00A21AEF">
        <w:tc>
          <w:tcPr>
            <w:tcW w:w="2730" w:type="dxa"/>
            <w:tcBorders>
              <w:top w:val="single" w:sz="4" w:space="0" w:color="003399"/>
              <w:left w:val="single" w:sz="4" w:space="0" w:color="003399"/>
              <w:bottom w:val="single" w:sz="4" w:space="0" w:color="003399"/>
              <w:right w:val="single" w:sz="4" w:space="0" w:color="003399"/>
            </w:tcBorders>
            <w:shd w:val="clear" w:color="auto" w:fill="auto"/>
          </w:tcPr>
          <w:p w:rsidR="00B70A5E" w:rsidRPr="00381028" w:rsidRDefault="00B70A5E" w:rsidP="00381028">
            <w:pPr>
              <w:spacing w:after="240"/>
              <w:jc w:val="left"/>
              <w:rPr>
                <w:rFonts w:asciiTheme="minorHAnsi" w:hAnsiTheme="minorHAnsi"/>
                <w:color w:val="595959" w:themeColor="text1" w:themeTint="A6"/>
              </w:rPr>
            </w:pPr>
            <w:r w:rsidRPr="00381028">
              <w:rPr>
                <w:rFonts w:asciiTheme="minorHAnsi" w:hAnsiTheme="minorHAnsi"/>
                <w:color w:val="595959" w:themeColor="text1" w:themeTint="A6"/>
              </w:rPr>
              <w:t>Bill infographics to be updated with the new data from the upcoming EC report on prices and costs</w:t>
            </w:r>
          </w:p>
        </w:tc>
        <w:tc>
          <w:tcPr>
            <w:tcW w:w="1936" w:type="dxa"/>
            <w:tcBorders>
              <w:top w:val="single" w:sz="4" w:space="0" w:color="003399"/>
              <w:left w:val="single" w:sz="4" w:space="0" w:color="003399"/>
              <w:bottom w:val="single" w:sz="4" w:space="0" w:color="003399"/>
              <w:right w:val="single" w:sz="4" w:space="0" w:color="003399"/>
            </w:tcBorders>
          </w:tcPr>
          <w:p w:rsidR="00B70A5E" w:rsidRPr="00381028" w:rsidRDefault="00B70A5E" w:rsidP="00381028">
            <w:pPr>
              <w:snapToGrid w:val="0"/>
              <w:jc w:val="left"/>
              <w:rPr>
                <w:rFonts w:asciiTheme="minorHAnsi" w:eastAsia="Calibri" w:hAnsiTheme="minorHAnsi" w:cs="Calibri"/>
                <w:color w:val="595959" w:themeColor="text1" w:themeTint="A6"/>
                <w:szCs w:val="22"/>
                <w:lang w:eastAsia="en-US"/>
              </w:rPr>
            </w:pPr>
            <w:r w:rsidRPr="00381028">
              <w:rPr>
                <w:rFonts w:asciiTheme="minorHAnsi" w:eastAsia="Calibri" w:hAnsiTheme="minorHAnsi" w:cs="Calibri"/>
                <w:color w:val="595959" w:themeColor="text1" w:themeTint="A6"/>
                <w:szCs w:val="22"/>
                <w:lang w:eastAsia="en-US"/>
              </w:rPr>
              <w:t>Infographics</w:t>
            </w:r>
          </w:p>
        </w:tc>
        <w:tc>
          <w:tcPr>
            <w:tcW w:w="1280" w:type="dxa"/>
            <w:tcBorders>
              <w:top w:val="single" w:sz="4" w:space="0" w:color="003399"/>
              <w:left w:val="single" w:sz="4" w:space="0" w:color="003399"/>
              <w:bottom w:val="single" w:sz="4" w:space="0" w:color="003399"/>
              <w:right w:val="single" w:sz="4" w:space="0" w:color="003399"/>
            </w:tcBorders>
          </w:tcPr>
          <w:p w:rsidR="00B70A5E" w:rsidRPr="00381028" w:rsidRDefault="00B70A5E" w:rsidP="00381028">
            <w:pPr>
              <w:snapToGrid w:val="0"/>
              <w:jc w:val="left"/>
              <w:rPr>
                <w:rFonts w:asciiTheme="minorHAnsi" w:eastAsia="Calibri" w:hAnsiTheme="minorHAnsi" w:cs="Calibri"/>
                <w:color w:val="595959" w:themeColor="text1" w:themeTint="A6"/>
                <w:szCs w:val="22"/>
                <w:lang w:eastAsia="en-US"/>
              </w:rPr>
            </w:pPr>
            <w:r w:rsidRPr="00381028">
              <w:rPr>
                <w:rFonts w:asciiTheme="minorHAnsi" w:eastAsia="Calibri" w:hAnsiTheme="minorHAnsi" w:cs="Calibri"/>
                <w:color w:val="595959" w:themeColor="text1" w:themeTint="A6"/>
                <w:szCs w:val="22"/>
                <w:lang w:eastAsia="en-US"/>
              </w:rPr>
              <w:t>Q4 2018</w:t>
            </w:r>
          </w:p>
        </w:tc>
        <w:tc>
          <w:tcPr>
            <w:tcW w:w="1276" w:type="dxa"/>
            <w:tcBorders>
              <w:top w:val="single" w:sz="4" w:space="0" w:color="003399"/>
              <w:left w:val="single" w:sz="4" w:space="0" w:color="003399"/>
              <w:bottom w:val="single" w:sz="4" w:space="0" w:color="003399"/>
              <w:right w:val="single" w:sz="4" w:space="0" w:color="003399"/>
            </w:tcBorders>
            <w:shd w:val="clear" w:color="auto" w:fill="auto"/>
          </w:tcPr>
          <w:p w:rsidR="00B70A5E" w:rsidRPr="00381028" w:rsidRDefault="00B70A5E" w:rsidP="00381028">
            <w:pPr>
              <w:snapToGrid w:val="0"/>
              <w:jc w:val="left"/>
              <w:rPr>
                <w:rFonts w:asciiTheme="minorHAnsi" w:eastAsia="Calibri" w:hAnsiTheme="minorHAnsi" w:cs="Calibri"/>
                <w:color w:val="595959" w:themeColor="text1" w:themeTint="A6"/>
                <w:szCs w:val="22"/>
                <w:lang w:eastAsia="en-US"/>
              </w:rPr>
            </w:pPr>
            <w:r w:rsidRPr="00381028">
              <w:rPr>
                <w:rFonts w:asciiTheme="minorHAnsi" w:eastAsia="Calibri" w:hAnsiTheme="minorHAnsi" w:cs="Calibri"/>
                <w:color w:val="595959" w:themeColor="text1" w:themeTint="A6"/>
                <w:szCs w:val="22"/>
                <w:lang w:eastAsia="en-US"/>
              </w:rPr>
              <w:t>Q1 2019</w:t>
            </w:r>
          </w:p>
        </w:tc>
        <w:tc>
          <w:tcPr>
            <w:tcW w:w="2525" w:type="dxa"/>
            <w:tcBorders>
              <w:top w:val="single" w:sz="4" w:space="0" w:color="003399"/>
              <w:left w:val="single" w:sz="4" w:space="0" w:color="003399"/>
              <w:bottom w:val="single" w:sz="4" w:space="0" w:color="003399"/>
              <w:right w:val="single" w:sz="4" w:space="0" w:color="003399"/>
            </w:tcBorders>
          </w:tcPr>
          <w:p w:rsidR="00B70A5E" w:rsidRPr="00381028" w:rsidRDefault="00B70A5E" w:rsidP="00381028">
            <w:pPr>
              <w:snapToGrid w:val="0"/>
              <w:jc w:val="left"/>
              <w:rPr>
                <w:rFonts w:asciiTheme="minorHAnsi" w:eastAsia="Calibri" w:hAnsiTheme="minorHAnsi" w:cs="Calibri"/>
                <w:color w:val="595959" w:themeColor="text1" w:themeTint="A6"/>
                <w:szCs w:val="22"/>
                <w:lang w:eastAsia="en-US"/>
              </w:rPr>
            </w:pPr>
            <w:r w:rsidRPr="00381028">
              <w:rPr>
                <w:rFonts w:asciiTheme="minorHAnsi" w:eastAsia="Calibri" w:hAnsiTheme="minorHAnsi" w:cs="Calibri"/>
                <w:color w:val="595959" w:themeColor="text1" w:themeTint="A6"/>
                <w:szCs w:val="22"/>
                <w:lang w:eastAsia="en-US"/>
              </w:rPr>
              <w:t>EU institutions, regulators</w:t>
            </w:r>
          </w:p>
        </w:tc>
      </w:tr>
      <w:tr w:rsidR="00B70A5E" w:rsidRPr="00381028" w:rsidTr="00A21AEF">
        <w:tc>
          <w:tcPr>
            <w:tcW w:w="2730" w:type="dxa"/>
            <w:tcBorders>
              <w:top w:val="single" w:sz="4" w:space="0" w:color="003399"/>
              <w:left w:val="single" w:sz="4" w:space="0" w:color="003399"/>
              <w:bottom w:val="single" w:sz="4" w:space="0" w:color="003399"/>
              <w:right w:val="single" w:sz="4" w:space="0" w:color="003399"/>
            </w:tcBorders>
            <w:shd w:val="clear" w:color="auto" w:fill="auto"/>
          </w:tcPr>
          <w:p w:rsidR="00B70A5E" w:rsidRPr="00381028" w:rsidRDefault="00B70A5E" w:rsidP="00381028">
            <w:pPr>
              <w:spacing w:after="240"/>
              <w:rPr>
                <w:rFonts w:asciiTheme="minorHAnsi" w:hAnsiTheme="minorHAnsi"/>
                <w:color w:val="595959" w:themeColor="text1" w:themeTint="A6"/>
              </w:rPr>
            </w:pPr>
            <w:r w:rsidRPr="00381028">
              <w:rPr>
                <w:rFonts w:asciiTheme="minorHAnsi" w:hAnsiTheme="minorHAnsi"/>
                <w:color w:val="595959" w:themeColor="text1" w:themeTint="A6"/>
              </w:rPr>
              <w:t>Input to the revision of the Energy Taxation Directive</w:t>
            </w:r>
          </w:p>
        </w:tc>
        <w:tc>
          <w:tcPr>
            <w:tcW w:w="1936" w:type="dxa"/>
            <w:tcBorders>
              <w:top w:val="single" w:sz="4" w:space="0" w:color="003399"/>
              <w:left w:val="single" w:sz="4" w:space="0" w:color="003399"/>
              <w:bottom w:val="single" w:sz="4" w:space="0" w:color="003399"/>
              <w:right w:val="single" w:sz="4" w:space="0" w:color="003399"/>
            </w:tcBorders>
          </w:tcPr>
          <w:p w:rsidR="00B70A5E" w:rsidRPr="00381028" w:rsidRDefault="00B70A5E" w:rsidP="00381028">
            <w:pPr>
              <w:snapToGrid w:val="0"/>
              <w:jc w:val="left"/>
              <w:rPr>
                <w:rFonts w:asciiTheme="minorHAnsi" w:eastAsia="Calibri" w:hAnsiTheme="minorHAnsi" w:cs="Calibri"/>
                <w:color w:val="595959" w:themeColor="text1" w:themeTint="A6"/>
                <w:szCs w:val="22"/>
                <w:lang w:eastAsia="en-US"/>
              </w:rPr>
            </w:pPr>
            <w:r w:rsidRPr="00381028">
              <w:rPr>
                <w:rFonts w:asciiTheme="minorHAnsi" w:eastAsia="Calibri" w:hAnsiTheme="minorHAnsi" w:cs="Calibri"/>
                <w:color w:val="595959" w:themeColor="text1" w:themeTint="A6"/>
                <w:szCs w:val="22"/>
                <w:lang w:eastAsia="en-US"/>
              </w:rPr>
              <w:t>Respond to the EU consultation</w:t>
            </w:r>
          </w:p>
        </w:tc>
        <w:tc>
          <w:tcPr>
            <w:tcW w:w="1280" w:type="dxa"/>
            <w:tcBorders>
              <w:top w:val="single" w:sz="4" w:space="0" w:color="003399"/>
              <w:left w:val="single" w:sz="4" w:space="0" w:color="003399"/>
              <w:bottom w:val="single" w:sz="4" w:space="0" w:color="003399"/>
              <w:right w:val="single" w:sz="4" w:space="0" w:color="003399"/>
            </w:tcBorders>
          </w:tcPr>
          <w:p w:rsidR="00B70A5E" w:rsidRPr="00381028" w:rsidRDefault="00B70A5E" w:rsidP="00381028">
            <w:pPr>
              <w:snapToGrid w:val="0"/>
              <w:jc w:val="left"/>
              <w:rPr>
                <w:rFonts w:asciiTheme="minorHAnsi" w:eastAsia="Calibri" w:hAnsiTheme="minorHAnsi" w:cs="Calibri"/>
                <w:color w:val="595959" w:themeColor="text1" w:themeTint="A6"/>
                <w:szCs w:val="22"/>
                <w:lang w:eastAsia="en-US"/>
              </w:rPr>
            </w:pPr>
            <w:r w:rsidRPr="00381028">
              <w:rPr>
                <w:rFonts w:asciiTheme="minorHAnsi" w:eastAsia="Calibri" w:hAnsiTheme="minorHAnsi" w:cs="Calibri"/>
                <w:color w:val="595959" w:themeColor="text1" w:themeTint="A6"/>
                <w:szCs w:val="22"/>
                <w:lang w:eastAsia="en-US"/>
              </w:rPr>
              <w:t>March 2018</w:t>
            </w:r>
          </w:p>
        </w:tc>
        <w:tc>
          <w:tcPr>
            <w:tcW w:w="1276" w:type="dxa"/>
            <w:tcBorders>
              <w:top w:val="single" w:sz="4" w:space="0" w:color="003399"/>
              <w:left w:val="single" w:sz="4" w:space="0" w:color="003399"/>
              <w:bottom w:val="single" w:sz="4" w:space="0" w:color="003399"/>
              <w:right w:val="single" w:sz="4" w:space="0" w:color="003399"/>
            </w:tcBorders>
            <w:shd w:val="clear" w:color="auto" w:fill="auto"/>
          </w:tcPr>
          <w:p w:rsidR="00B70A5E" w:rsidRPr="00381028" w:rsidRDefault="00B70A5E" w:rsidP="00381028">
            <w:pPr>
              <w:snapToGrid w:val="0"/>
              <w:jc w:val="left"/>
              <w:rPr>
                <w:rFonts w:asciiTheme="minorHAnsi" w:eastAsia="Calibri" w:hAnsiTheme="minorHAnsi" w:cs="Calibri"/>
                <w:color w:val="595959" w:themeColor="text1" w:themeTint="A6"/>
                <w:szCs w:val="22"/>
                <w:lang w:eastAsia="en-US"/>
              </w:rPr>
            </w:pPr>
            <w:r w:rsidRPr="00381028">
              <w:rPr>
                <w:rFonts w:asciiTheme="minorHAnsi" w:eastAsia="Calibri" w:hAnsiTheme="minorHAnsi" w:cs="Calibri"/>
                <w:color w:val="595959" w:themeColor="text1" w:themeTint="A6"/>
                <w:szCs w:val="22"/>
                <w:lang w:eastAsia="en-US"/>
              </w:rPr>
              <w:t>May 2018</w:t>
            </w:r>
          </w:p>
        </w:tc>
        <w:tc>
          <w:tcPr>
            <w:tcW w:w="2525" w:type="dxa"/>
            <w:tcBorders>
              <w:top w:val="single" w:sz="4" w:space="0" w:color="003399"/>
              <w:left w:val="single" w:sz="4" w:space="0" w:color="003399"/>
              <w:bottom w:val="single" w:sz="4" w:space="0" w:color="003399"/>
              <w:right w:val="single" w:sz="4" w:space="0" w:color="003399"/>
            </w:tcBorders>
          </w:tcPr>
          <w:p w:rsidR="00B70A5E" w:rsidRPr="00381028" w:rsidRDefault="00B70A5E" w:rsidP="00381028">
            <w:pPr>
              <w:snapToGrid w:val="0"/>
              <w:jc w:val="left"/>
              <w:rPr>
                <w:rFonts w:asciiTheme="minorHAnsi" w:eastAsia="Calibri" w:hAnsiTheme="minorHAnsi" w:cs="Calibri"/>
                <w:color w:val="595959" w:themeColor="text1" w:themeTint="A6"/>
                <w:szCs w:val="22"/>
                <w:lang w:eastAsia="en-US"/>
              </w:rPr>
            </w:pPr>
            <w:r w:rsidRPr="00381028">
              <w:rPr>
                <w:rFonts w:asciiTheme="minorHAnsi" w:eastAsia="Calibri" w:hAnsiTheme="minorHAnsi" w:cs="Calibri"/>
                <w:color w:val="595959" w:themeColor="text1" w:themeTint="A6"/>
                <w:szCs w:val="22"/>
                <w:lang w:eastAsia="en-US"/>
              </w:rPr>
              <w:t>EU institutions, regulators</w:t>
            </w:r>
          </w:p>
        </w:tc>
      </w:tr>
    </w:tbl>
    <w:p w:rsidR="00381028" w:rsidRPr="00381028" w:rsidRDefault="00381028" w:rsidP="00381028">
      <w:pPr>
        <w:spacing w:line="276" w:lineRule="auto"/>
        <w:jc w:val="left"/>
        <w:rPr>
          <w:rFonts w:ascii="Calibri" w:hAnsi="Calibri"/>
          <w:b/>
          <w:color w:val="2C63FE"/>
          <w:szCs w:val="52"/>
        </w:rPr>
      </w:pPr>
    </w:p>
    <w:p w:rsidR="00381028" w:rsidRPr="00381028" w:rsidRDefault="00381028" w:rsidP="00381028"/>
    <w:p w:rsidR="00381028" w:rsidRPr="00B51D4C" w:rsidRDefault="00381028" w:rsidP="00F25A9F">
      <w:pPr>
        <w:rPr>
          <w:rFonts w:ascii="Calibri" w:hAnsi="Calibri"/>
          <w:color w:val="595959" w:themeColor="text1" w:themeTint="A6"/>
        </w:rPr>
      </w:pPr>
    </w:p>
    <w:sectPr w:rsidR="00381028" w:rsidRPr="00B51D4C" w:rsidSect="001A360E">
      <w:headerReference w:type="default" r:id="rId8"/>
      <w:headerReference w:type="first" r:id="rId9"/>
      <w:footerReference w:type="first" r:id="rId10"/>
      <w:pgSz w:w="11907" w:h="16840" w:code="9"/>
      <w:pgMar w:top="1276" w:right="992" w:bottom="1242" w:left="992"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36FC" w:rsidRDefault="00E836FC">
      <w:r>
        <w:separator/>
      </w:r>
    </w:p>
  </w:endnote>
  <w:endnote w:type="continuationSeparator" w:id="0">
    <w:p w:rsidR="00E836FC" w:rsidRDefault="00E83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Qanelas">
    <w:altName w:val="Arial"/>
    <w:panose1 w:val="00000500000000000000"/>
    <w:charset w:val="00"/>
    <w:family w:val="modern"/>
    <w:notTrueType/>
    <w:pitch w:val="variable"/>
    <w:sig w:usb0="00000207" w:usb1="00000000" w:usb2="00000000" w:usb3="00000000" w:csb0="00000097" w:csb1="00000000"/>
  </w:font>
  <w:font w:name="EDP Preon Regular">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732D" w:rsidRPr="00DF230D" w:rsidRDefault="00F3732D" w:rsidP="00F3732D">
    <w:pPr>
      <w:pStyle w:val="Footer"/>
      <w:jc w:val="right"/>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36FC" w:rsidRDefault="00E836FC">
      <w:r>
        <w:separator/>
      </w:r>
    </w:p>
  </w:footnote>
  <w:footnote w:type="continuationSeparator" w:id="0">
    <w:p w:rsidR="00E836FC" w:rsidRDefault="00E836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3FE7" w:rsidRDefault="00BD3FE7">
    <w:pPr>
      <w:pStyle w:val="Header"/>
    </w:pPr>
    <w:r w:rsidRPr="00BA6A2C">
      <w:rPr>
        <w:noProof/>
        <w:lang w:val="en-BE" w:eastAsia="en-BE"/>
      </w:rPr>
      <w:drawing>
        <wp:inline distT="0" distB="0" distL="0" distR="0" wp14:anchorId="5A89E0C2" wp14:editId="7680481E">
          <wp:extent cx="2088107" cy="45743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rotWithShape="1">
                  <a:blip r:embed="rId1">
                    <a:extLst>
                      <a:ext uri="{28A0092B-C50C-407E-A947-70E740481C1C}">
                        <a14:useLocalDpi xmlns:a14="http://schemas.microsoft.com/office/drawing/2010/main" val="0"/>
                      </a:ext>
                    </a:extLst>
                  </a:blip>
                  <a:srcRect t="25263" b="17836"/>
                  <a:stretch/>
                </pic:blipFill>
                <pic:spPr bwMode="auto">
                  <a:xfrm>
                    <a:off x="0" y="0"/>
                    <a:ext cx="2105274" cy="461197"/>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069"/>
    </w:tblGrid>
    <w:tr w:rsidR="00DF04A7" w:rsidTr="00AF22A9">
      <w:tc>
        <w:tcPr>
          <w:tcW w:w="5069" w:type="dxa"/>
          <w:shd w:val="clear" w:color="auto" w:fill="auto"/>
        </w:tcPr>
        <w:p w:rsidR="00DF04A7" w:rsidRDefault="009C51C8" w:rsidP="00DF04A7">
          <w:pPr>
            <w:pStyle w:val="Header"/>
            <w:jc w:val="center"/>
          </w:pPr>
          <w:r w:rsidRPr="00BA6A2C">
            <w:rPr>
              <w:noProof/>
              <w:lang w:val="en-BE" w:eastAsia="en-BE"/>
            </w:rPr>
            <w:drawing>
              <wp:inline distT="0" distB="0" distL="0" distR="0" wp14:anchorId="6B83F38F" wp14:editId="402398AE">
                <wp:extent cx="2088107" cy="45743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rotWithShape="1">
                        <a:blip r:embed="rId1">
                          <a:extLst>
                            <a:ext uri="{28A0092B-C50C-407E-A947-70E740481C1C}">
                              <a14:useLocalDpi xmlns:a14="http://schemas.microsoft.com/office/drawing/2010/main" val="0"/>
                            </a:ext>
                          </a:extLst>
                        </a:blip>
                        <a:srcRect t="25263" b="17836"/>
                        <a:stretch/>
                      </pic:blipFill>
                      <pic:spPr bwMode="auto">
                        <a:xfrm>
                          <a:off x="0" y="0"/>
                          <a:ext cx="2105274" cy="461197"/>
                        </a:xfrm>
                        <a:prstGeom prst="rect">
                          <a:avLst/>
                        </a:prstGeom>
                        <a:ln>
                          <a:noFill/>
                        </a:ln>
                        <a:extLst>
                          <a:ext uri="{53640926-AAD7-44D8-BBD7-CCE9431645EC}">
                            <a14:shadowObscured xmlns:a14="http://schemas.microsoft.com/office/drawing/2010/main"/>
                          </a:ext>
                        </a:extLst>
                      </pic:spPr>
                    </pic:pic>
                  </a:graphicData>
                </a:graphic>
              </wp:inline>
            </w:drawing>
          </w:r>
        </w:p>
      </w:tc>
    </w:tr>
  </w:tbl>
  <w:p w:rsidR="006E15D4" w:rsidRDefault="006E15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D31492"/>
    <w:multiLevelType w:val="hybridMultilevel"/>
    <w:tmpl w:val="6BEA89E2"/>
    <w:lvl w:ilvl="0" w:tplc="D3E2310E">
      <w:start w:val="1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2821F4C"/>
    <w:multiLevelType w:val="hybridMultilevel"/>
    <w:tmpl w:val="B3D81598"/>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9F6306"/>
    <w:multiLevelType w:val="hybridMultilevel"/>
    <w:tmpl w:val="406E3F92"/>
    <w:lvl w:ilvl="0" w:tplc="138C569E">
      <w:start w:val="1"/>
      <w:numFmt w:val="bullet"/>
      <w:lvlText w:val=""/>
      <w:lvlJc w:val="left"/>
      <w:pPr>
        <w:tabs>
          <w:tab w:val="num" w:pos="720"/>
        </w:tabs>
        <w:ind w:left="720" w:hanging="360"/>
      </w:pPr>
      <w:rPr>
        <w:rFonts w:ascii="Wingdings" w:hAnsi="Wingdings" w:hint="default"/>
      </w:rPr>
    </w:lvl>
    <w:lvl w:ilvl="1" w:tplc="5C4E99FA" w:tentative="1">
      <w:start w:val="1"/>
      <w:numFmt w:val="bullet"/>
      <w:lvlText w:val=""/>
      <w:lvlJc w:val="left"/>
      <w:pPr>
        <w:tabs>
          <w:tab w:val="num" w:pos="1440"/>
        </w:tabs>
        <w:ind w:left="1440" w:hanging="360"/>
      </w:pPr>
      <w:rPr>
        <w:rFonts w:ascii="Wingdings" w:hAnsi="Wingdings" w:hint="default"/>
      </w:rPr>
    </w:lvl>
    <w:lvl w:ilvl="2" w:tplc="769A90A8" w:tentative="1">
      <w:start w:val="1"/>
      <w:numFmt w:val="bullet"/>
      <w:lvlText w:val=""/>
      <w:lvlJc w:val="left"/>
      <w:pPr>
        <w:tabs>
          <w:tab w:val="num" w:pos="2160"/>
        </w:tabs>
        <w:ind w:left="2160" w:hanging="360"/>
      </w:pPr>
      <w:rPr>
        <w:rFonts w:ascii="Wingdings" w:hAnsi="Wingdings" w:hint="default"/>
      </w:rPr>
    </w:lvl>
    <w:lvl w:ilvl="3" w:tplc="F61C4526" w:tentative="1">
      <w:start w:val="1"/>
      <w:numFmt w:val="bullet"/>
      <w:lvlText w:val=""/>
      <w:lvlJc w:val="left"/>
      <w:pPr>
        <w:tabs>
          <w:tab w:val="num" w:pos="2880"/>
        </w:tabs>
        <w:ind w:left="2880" w:hanging="360"/>
      </w:pPr>
      <w:rPr>
        <w:rFonts w:ascii="Wingdings" w:hAnsi="Wingdings" w:hint="default"/>
      </w:rPr>
    </w:lvl>
    <w:lvl w:ilvl="4" w:tplc="232A7B5A" w:tentative="1">
      <w:start w:val="1"/>
      <w:numFmt w:val="bullet"/>
      <w:lvlText w:val=""/>
      <w:lvlJc w:val="left"/>
      <w:pPr>
        <w:tabs>
          <w:tab w:val="num" w:pos="3600"/>
        </w:tabs>
        <w:ind w:left="3600" w:hanging="360"/>
      </w:pPr>
      <w:rPr>
        <w:rFonts w:ascii="Wingdings" w:hAnsi="Wingdings" w:hint="default"/>
      </w:rPr>
    </w:lvl>
    <w:lvl w:ilvl="5" w:tplc="9746E4D4" w:tentative="1">
      <w:start w:val="1"/>
      <w:numFmt w:val="bullet"/>
      <w:lvlText w:val=""/>
      <w:lvlJc w:val="left"/>
      <w:pPr>
        <w:tabs>
          <w:tab w:val="num" w:pos="4320"/>
        </w:tabs>
        <w:ind w:left="4320" w:hanging="360"/>
      </w:pPr>
      <w:rPr>
        <w:rFonts w:ascii="Wingdings" w:hAnsi="Wingdings" w:hint="default"/>
      </w:rPr>
    </w:lvl>
    <w:lvl w:ilvl="6" w:tplc="40EE4D50" w:tentative="1">
      <w:start w:val="1"/>
      <w:numFmt w:val="bullet"/>
      <w:lvlText w:val=""/>
      <w:lvlJc w:val="left"/>
      <w:pPr>
        <w:tabs>
          <w:tab w:val="num" w:pos="5040"/>
        </w:tabs>
        <w:ind w:left="5040" w:hanging="360"/>
      </w:pPr>
      <w:rPr>
        <w:rFonts w:ascii="Wingdings" w:hAnsi="Wingdings" w:hint="default"/>
      </w:rPr>
    </w:lvl>
    <w:lvl w:ilvl="7" w:tplc="43B04014" w:tentative="1">
      <w:start w:val="1"/>
      <w:numFmt w:val="bullet"/>
      <w:lvlText w:val=""/>
      <w:lvlJc w:val="left"/>
      <w:pPr>
        <w:tabs>
          <w:tab w:val="num" w:pos="5760"/>
        </w:tabs>
        <w:ind w:left="5760" w:hanging="360"/>
      </w:pPr>
      <w:rPr>
        <w:rFonts w:ascii="Wingdings" w:hAnsi="Wingdings" w:hint="default"/>
      </w:rPr>
    </w:lvl>
    <w:lvl w:ilvl="8" w:tplc="BA3E95B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784DF2"/>
    <w:multiLevelType w:val="hybridMultilevel"/>
    <w:tmpl w:val="EEB66874"/>
    <w:lvl w:ilvl="0" w:tplc="AB66E7BE">
      <w:start w:val="1"/>
      <w:numFmt w:val="bullet"/>
      <w:lvlText w:val=""/>
      <w:lvlJc w:val="left"/>
      <w:pPr>
        <w:tabs>
          <w:tab w:val="num" w:pos="720"/>
        </w:tabs>
        <w:ind w:left="720" w:hanging="360"/>
      </w:pPr>
      <w:rPr>
        <w:rFonts w:ascii="Wingdings" w:hAnsi="Wingdings" w:hint="default"/>
      </w:rPr>
    </w:lvl>
    <w:lvl w:ilvl="1" w:tplc="175CA8D2" w:tentative="1">
      <w:start w:val="1"/>
      <w:numFmt w:val="bullet"/>
      <w:lvlText w:val=""/>
      <w:lvlJc w:val="left"/>
      <w:pPr>
        <w:tabs>
          <w:tab w:val="num" w:pos="1440"/>
        </w:tabs>
        <w:ind w:left="1440" w:hanging="360"/>
      </w:pPr>
      <w:rPr>
        <w:rFonts w:ascii="Wingdings" w:hAnsi="Wingdings" w:hint="default"/>
      </w:rPr>
    </w:lvl>
    <w:lvl w:ilvl="2" w:tplc="34BA3A8E" w:tentative="1">
      <w:start w:val="1"/>
      <w:numFmt w:val="bullet"/>
      <w:lvlText w:val=""/>
      <w:lvlJc w:val="left"/>
      <w:pPr>
        <w:tabs>
          <w:tab w:val="num" w:pos="2160"/>
        </w:tabs>
        <w:ind w:left="2160" w:hanging="360"/>
      </w:pPr>
      <w:rPr>
        <w:rFonts w:ascii="Wingdings" w:hAnsi="Wingdings" w:hint="default"/>
      </w:rPr>
    </w:lvl>
    <w:lvl w:ilvl="3" w:tplc="C5FE5DA2" w:tentative="1">
      <w:start w:val="1"/>
      <w:numFmt w:val="bullet"/>
      <w:lvlText w:val=""/>
      <w:lvlJc w:val="left"/>
      <w:pPr>
        <w:tabs>
          <w:tab w:val="num" w:pos="2880"/>
        </w:tabs>
        <w:ind w:left="2880" w:hanging="360"/>
      </w:pPr>
      <w:rPr>
        <w:rFonts w:ascii="Wingdings" w:hAnsi="Wingdings" w:hint="default"/>
      </w:rPr>
    </w:lvl>
    <w:lvl w:ilvl="4" w:tplc="7200E490" w:tentative="1">
      <w:start w:val="1"/>
      <w:numFmt w:val="bullet"/>
      <w:lvlText w:val=""/>
      <w:lvlJc w:val="left"/>
      <w:pPr>
        <w:tabs>
          <w:tab w:val="num" w:pos="3600"/>
        </w:tabs>
        <w:ind w:left="3600" w:hanging="360"/>
      </w:pPr>
      <w:rPr>
        <w:rFonts w:ascii="Wingdings" w:hAnsi="Wingdings" w:hint="default"/>
      </w:rPr>
    </w:lvl>
    <w:lvl w:ilvl="5" w:tplc="EDE62104" w:tentative="1">
      <w:start w:val="1"/>
      <w:numFmt w:val="bullet"/>
      <w:lvlText w:val=""/>
      <w:lvlJc w:val="left"/>
      <w:pPr>
        <w:tabs>
          <w:tab w:val="num" w:pos="4320"/>
        </w:tabs>
        <w:ind w:left="4320" w:hanging="360"/>
      </w:pPr>
      <w:rPr>
        <w:rFonts w:ascii="Wingdings" w:hAnsi="Wingdings" w:hint="default"/>
      </w:rPr>
    </w:lvl>
    <w:lvl w:ilvl="6" w:tplc="DA44077E" w:tentative="1">
      <w:start w:val="1"/>
      <w:numFmt w:val="bullet"/>
      <w:lvlText w:val=""/>
      <w:lvlJc w:val="left"/>
      <w:pPr>
        <w:tabs>
          <w:tab w:val="num" w:pos="5040"/>
        </w:tabs>
        <w:ind w:left="5040" w:hanging="360"/>
      </w:pPr>
      <w:rPr>
        <w:rFonts w:ascii="Wingdings" w:hAnsi="Wingdings" w:hint="default"/>
      </w:rPr>
    </w:lvl>
    <w:lvl w:ilvl="7" w:tplc="C95082B0" w:tentative="1">
      <w:start w:val="1"/>
      <w:numFmt w:val="bullet"/>
      <w:lvlText w:val=""/>
      <w:lvlJc w:val="left"/>
      <w:pPr>
        <w:tabs>
          <w:tab w:val="num" w:pos="5760"/>
        </w:tabs>
        <w:ind w:left="5760" w:hanging="360"/>
      </w:pPr>
      <w:rPr>
        <w:rFonts w:ascii="Wingdings" w:hAnsi="Wingdings" w:hint="default"/>
      </w:rPr>
    </w:lvl>
    <w:lvl w:ilvl="8" w:tplc="32F43CF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4E0FE2"/>
    <w:multiLevelType w:val="hybridMultilevel"/>
    <w:tmpl w:val="18360FD0"/>
    <w:lvl w:ilvl="0" w:tplc="20EC702A">
      <w:start w:val="1"/>
      <w:numFmt w:val="bullet"/>
      <w:lvlText w:val="•"/>
      <w:lvlJc w:val="left"/>
      <w:pPr>
        <w:tabs>
          <w:tab w:val="num" w:pos="720"/>
        </w:tabs>
        <w:ind w:left="720" w:hanging="360"/>
      </w:pPr>
      <w:rPr>
        <w:rFonts w:ascii="Arial" w:hAnsi="Arial" w:hint="default"/>
      </w:rPr>
    </w:lvl>
    <w:lvl w:ilvl="1" w:tplc="6FEACF68">
      <w:start w:val="1"/>
      <w:numFmt w:val="bullet"/>
      <w:lvlText w:val="•"/>
      <w:lvlJc w:val="left"/>
      <w:pPr>
        <w:tabs>
          <w:tab w:val="num" w:pos="1440"/>
        </w:tabs>
        <w:ind w:left="1440" w:hanging="360"/>
      </w:pPr>
      <w:rPr>
        <w:rFonts w:ascii="Arial" w:hAnsi="Arial" w:hint="default"/>
      </w:rPr>
    </w:lvl>
    <w:lvl w:ilvl="2" w:tplc="54C0E4D0">
      <w:start w:val="1"/>
      <w:numFmt w:val="bullet"/>
      <w:lvlText w:val="•"/>
      <w:lvlJc w:val="left"/>
      <w:pPr>
        <w:tabs>
          <w:tab w:val="num" w:pos="2160"/>
        </w:tabs>
        <w:ind w:left="2160" w:hanging="360"/>
      </w:pPr>
      <w:rPr>
        <w:rFonts w:ascii="Arial" w:hAnsi="Arial" w:hint="default"/>
      </w:rPr>
    </w:lvl>
    <w:lvl w:ilvl="3" w:tplc="A3243120" w:tentative="1">
      <w:start w:val="1"/>
      <w:numFmt w:val="bullet"/>
      <w:lvlText w:val="•"/>
      <w:lvlJc w:val="left"/>
      <w:pPr>
        <w:tabs>
          <w:tab w:val="num" w:pos="2880"/>
        </w:tabs>
        <w:ind w:left="2880" w:hanging="360"/>
      </w:pPr>
      <w:rPr>
        <w:rFonts w:ascii="Arial" w:hAnsi="Arial" w:hint="default"/>
      </w:rPr>
    </w:lvl>
    <w:lvl w:ilvl="4" w:tplc="E9F2A3AE" w:tentative="1">
      <w:start w:val="1"/>
      <w:numFmt w:val="bullet"/>
      <w:lvlText w:val="•"/>
      <w:lvlJc w:val="left"/>
      <w:pPr>
        <w:tabs>
          <w:tab w:val="num" w:pos="3600"/>
        </w:tabs>
        <w:ind w:left="3600" w:hanging="360"/>
      </w:pPr>
      <w:rPr>
        <w:rFonts w:ascii="Arial" w:hAnsi="Arial" w:hint="default"/>
      </w:rPr>
    </w:lvl>
    <w:lvl w:ilvl="5" w:tplc="FDCC0A7E" w:tentative="1">
      <w:start w:val="1"/>
      <w:numFmt w:val="bullet"/>
      <w:lvlText w:val="•"/>
      <w:lvlJc w:val="left"/>
      <w:pPr>
        <w:tabs>
          <w:tab w:val="num" w:pos="4320"/>
        </w:tabs>
        <w:ind w:left="4320" w:hanging="360"/>
      </w:pPr>
      <w:rPr>
        <w:rFonts w:ascii="Arial" w:hAnsi="Arial" w:hint="default"/>
      </w:rPr>
    </w:lvl>
    <w:lvl w:ilvl="6" w:tplc="ED16075C" w:tentative="1">
      <w:start w:val="1"/>
      <w:numFmt w:val="bullet"/>
      <w:lvlText w:val="•"/>
      <w:lvlJc w:val="left"/>
      <w:pPr>
        <w:tabs>
          <w:tab w:val="num" w:pos="5040"/>
        </w:tabs>
        <w:ind w:left="5040" w:hanging="360"/>
      </w:pPr>
      <w:rPr>
        <w:rFonts w:ascii="Arial" w:hAnsi="Arial" w:hint="default"/>
      </w:rPr>
    </w:lvl>
    <w:lvl w:ilvl="7" w:tplc="D96223DC" w:tentative="1">
      <w:start w:val="1"/>
      <w:numFmt w:val="bullet"/>
      <w:lvlText w:val="•"/>
      <w:lvlJc w:val="left"/>
      <w:pPr>
        <w:tabs>
          <w:tab w:val="num" w:pos="5760"/>
        </w:tabs>
        <w:ind w:left="5760" w:hanging="360"/>
      </w:pPr>
      <w:rPr>
        <w:rFonts w:ascii="Arial" w:hAnsi="Arial" w:hint="default"/>
      </w:rPr>
    </w:lvl>
    <w:lvl w:ilvl="8" w:tplc="0F42D16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0F556F9"/>
    <w:multiLevelType w:val="hybridMultilevel"/>
    <w:tmpl w:val="D24AE7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51C41A8"/>
    <w:multiLevelType w:val="hybridMultilevel"/>
    <w:tmpl w:val="F2EE51FE"/>
    <w:lvl w:ilvl="0" w:tplc="0F42AD18">
      <w:start w:val="1"/>
      <w:numFmt w:val="bullet"/>
      <w:lvlText w:val=""/>
      <w:lvlJc w:val="left"/>
      <w:pPr>
        <w:tabs>
          <w:tab w:val="num" w:pos="720"/>
        </w:tabs>
        <w:ind w:left="720" w:hanging="360"/>
      </w:pPr>
      <w:rPr>
        <w:rFonts w:ascii="Wingdings" w:hAnsi="Wingdings" w:hint="default"/>
      </w:rPr>
    </w:lvl>
    <w:lvl w:ilvl="1" w:tplc="F198D326" w:tentative="1">
      <w:start w:val="1"/>
      <w:numFmt w:val="bullet"/>
      <w:lvlText w:val=""/>
      <w:lvlJc w:val="left"/>
      <w:pPr>
        <w:tabs>
          <w:tab w:val="num" w:pos="1440"/>
        </w:tabs>
        <w:ind w:left="1440" w:hanging="360"/>
      </w:pPr>
      <w:rPr>
        <w:rFonts w:ascii="Wingdings" w:hAnsi="Wingdings" w:hint="default"/>
      </w:rPr>
    </w:lvl>
    <w:lvl w:ilvl="2" w:tplc="0D8AE31A" w:tentative="1">
      <w:start w:val="1"/>
      <w:numFmt w:val="bullet"/>
      <w:lvlText w:val=""/>
      <w:lvlJc w:val="left"/>
      <w:pPr>
        <w:tabs>
          <w:tab w:val="num" w:pos="2160"/>
        </w:tabs>
        <w:ind w:left="2160" w:hanging="360"/>
      </w:pPr>
      <w:rPr>
        <w:rFonts w:ascii="Wingdings" w:hAnsi="Wingdings" w:hint="default"/>
      </w:rPr>
    </w:lvl>
    <w:lvl w:ilvl="3" w:tplc="FCA4B77E" w:tentative="1">
      <w:start w:val="1"/>
      <w:numFmt w:val="bullet"/>
      <w:lvlText w:val=""/>
      <w:lvlJc w:val="left"/>
      <w:pPr>
        <w:tabs>
          <w:tab w:val="num" w:pos="2880"/>
        </w:tabs>
        <w:ind w:left="2880" w:hanging="360"/>
      </w:pPr>
      <w:rPr>
        <w:rFonts w:ascii="Wingdings" w:hAnsi="Wingdings" w:hint="default"/>
      </w:rPr>
    </w:lvl>
    <w:lvl w:ilvl="4" w:tplc="EAD0D0DE" w:tentative="1">
      <w:start w:val="1"/>
      <w:numFmt w:val="bullet"/>
      <w:lvlText w:val=""/>
      <w:lvlJc w:val="left"/>
      <w:pPr>
        <w:tabs>
          <w:tab w:val="num" w:pos="3600"/>
        </w:tabs>
        <w:ind w:left="3600" w:hanging="360"/>
      </w:pPr>
      <w:rPr>
        <w:rFonts w:ascii="Wingdings" w:hAnsi="Wingdings" w:hint="default"/>
      </w:rPr>
    </w:lvl>
    <w:lvl w:ilvl="5" w:tplc="5F5CD896" w:tentative="1">
      <w:start w:val="1"/>
      <w:numFmt w:val="bullet"/>
      <w:lvlText w:val=""/>
      <w:lvlJc w:val="left"/>
      <w:pPr>
        <w:tabs>
          <w:tab w:val="num" w:pos="4320"/>
        </w:tabs>
        <w:ind w:left="4320" w:hanging="360"/>
      </w:pPr>
      <w:rPr>
        <w:rFonts w:ascii="Wingdings" w:hAnsi="Wingdings" w:hint="default"/>
      </w:rPr>
    </w:lvl>
    <w:lvl w:ilvl="6" w:tplc="A6FA60FA" w:tentative="1">
      <w:start w:val="1"/>
      <w:numFmt w:val="bullet"/>
      <w:lvlText w:val=""/>
      <w:lvlJc w:val="left"/>
      <w:pPr>
        <w:tabs>
          <w:tab w:val="num" w:pos="5040"/>
        </w:tabs>
        <w:ind w:left="5040" w:hanging="360"/>
      </w:pPr>
      <w:rPr>
        <w:rFonts w:ascii="Wingdings" w:hAnsi="Wingdings" w:hint="default"/>
      </w:rPr>
    </w:lvl>
    <w:lvl w:ilvl="7" w:tplc="E474EFF4" w:tentative="1">
      <w:start w:val="1"/>
      <w:numFmt w:val="bullet"/>
      <w:lvlText w:val=""/>
      <w:lvlJc w:val="left"/>
      <w:pPr>
        <w:tabs>
          <w:tab w:val="num" w:pos="5760"/>
        </w:tabs>
        <w:ind w:left="5760" w:hanging="360"/>
      </w:pPr>
      <w:rPr>
        <w:rFonts w:ascii="Wingdings" w:hAnsi="Wingdings" w:hint="default"/>
      </w:rPr>
    </w:lvl>
    <w:lvl w:ilvl="8" w:tplc="E4682FF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D363F"/>
    <w:multiLevelType w:val="hybridMultilevel"/>
    <w:tmpl w:val="B6288A9E"/>
    <w:lvl w:ilvl="0" w:tplc="4EF0E184">
      <w:start w:val="1"/>
      <w:numFmt w:val="bullet"/>
      <w:lvlText w:val=""/>
      <w:lvlJc w:val="left"/>
      <w:pPr>
        <w:tabs>
          <w:tab w:val="num" w:pos="720"/>
        </w:tabs>
        <w:ind w:left="720" w:hanging="360"/>
      </w:pPr>
      <w:rPr>
        <w:rFonts w:ascii="Wingdings" w:hAnsi="Wingdings" w:hint="default"/>
      </w:rPr>
    </w:lvl>
    <w:lvl w:ilvl="1" w:tplc="2F10C3E8" w:tentative="1">
      <w:start w:val="1"/>
      <w:numFmt w:val="bullet"/>
      <w:lvlText w:val=""/>
      <w:lvlJc w:val="left"/>
      <w:pPr>
        <w:tabs>
          <w:tab w:val="num" w:pos="1440"/>
        </w:tabs>
        <w:ind w:left="1440" w:hanging="360"/>
      </w:pPr>
      <w:rPr>
        <w:rFonts w:ascii="Wingdings" w:hAnsi="Wingdings" w:hint="default"/>
      </w:rPr>
    </w:lvl>
    <w:lvl w:ilvl="2" w:tplc="1B1EA6E2" w:tentative="1">
      <w:start w:val="1"/>
      <w:numFmt w:val="bullet"/>
      <w:lvlText w:val=""/>
      <w:lvlJc w:val="left"/>
      <w:pPr>
        <w:tabs>
          <w:tab w:val="num" w:pos="2160"/>
        </w:tabs>
        <w:ind w:left="2160" w:hanging="360"/>
      </w:pPr>
      <w:rPr>
        <w:rFonts w:ascii="Wingdings" w:hAnsi="Wingdings" w:hint="default"/>
      </w:rPr>
    </w:lvl>
    <w:lvl w:ilvl="3" w:tplc="9C747C80" w:tentative="1">
      <w:start w:val="1"/>
      <w:numFmt w:val="bullet"/>
      <w:lvlText w:val=""/>
      <w:lvlJc w:val="left"/>
      <w:pPr>
        <w:tabs>
          <w:tab w:val="num" w:pos="2880"/>
        </w:tabs>
        <w:ind w:left="2880" w:hanging="360"/>
      </w:pPr>
      <w:rPr>
        <w:rFonts w:ascii="Wingdings" w:hAnsi="Wingdings" w:hint="default"/>
      </w:rPr>
    </w:lvl>
    <w:lvl w:ilvl="4" w:tplc="B9928BBE" w:tentative="1">
      <w:start w:val="1"/>
      <w:numFmt w:val="bullet"/>
      <w:lvlText w:val=""/>
      <w:lvlJc w:val="left"/>
      <w:pPr>
        <w:tabs>
          <w:tab w:val="num" w:pos="3600"/>
        </w:tabs>
        <w:ind w:left="3600" w:hanging="360"/>
      </w:pPr>
      <w:rPr>
        <w:rFonts w:ascii="Wingdings" w:hAnsi="Wingdings" w:hint="default"/>
      </w:rPr>
    </w:lvl>
    <w:lvl w:ilvl="5" w:tplc="687E0414" w:tentative="1">
      <w:start w:val="1"/>
      <w:numFmt w:val="bullet"/>
      <w:lvlText w:val=""/>
      <w:lvlJc w:val="left"/>
      <w:pPr>
        <w:tabs>
          <w:tab w:val="num" w:pos="4320"/>
        </w:tabs>
        <w:ind w:left="4320" w:hanging="360"/>
      </w:pPr>
      <w:rPr>
        <w:rFonts w:ascii="Wingdings" w:hAnsi="Wingdings" w:hint="default"/>
      </w:rPr>
    </w:lvl>
    <w:lvl w:ilvl="6" w:tplc="F706657A" w:tentative="1">
      <w:start w:val="1"/>
      <w:numFmt w:val="bullet"/>
      <w:lvlText w:val=""/>
      <w:lvlJc w:val="left"/>
      <w:pPr>
        <w:tabs>
          <w:tab w:val="num" w:pos="5040"/>
        </w:tabs>
        <w:ind w:left="5040" w:hanging="360"/>
      </w:pPr>
      <w:rPr>
        <w:rFonts w:ascii="Wingdings" w:hAnsi="Wingdings" w:hint="default"/>
      </w:rPr>
    </w:lvl>
    <w:lvl w:ilvl="7" w:tplc="74208AB6" w:tentative="1">
      <w:start w:val="1"/>
      <w:numFmt w:val="bullet"/>
      <w:lvlText w:val=""/>
      <w:lvlJc w:val="left"/>
      <w:pPr>
        <w:tabs>
          <w:tab w:val="num" w:pos="5760"/>
        </w:tabs>
        <w:ind w:left="5760" w:hanging="360"/>
      </w:pPr>
      <w:rPr>
        <w:rFonts w:ascii="Wingdings" w:hAnsi="Wingdings" w:hint="default"/>
      </w:rPr>
    </w:lvl>
    <w:lvl w:ilvl="8" w:tplc="F9606BB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9C66FAD"/>
    <w:multiLevelType w:val="hybridMultilevel"/>
    <w:tmpl w:val="17849DAA"/>
    <w:lvl w:ilvl="0" w:tplc="D3E2310E">
      <w:start w:val="1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091568"/>
    <w:multiLevelType w:val="hybridMultilevel"/>
    <w:tmpl w:val="CB36734A"/>
    <w:lvl w:ilvl="0" w:tplc="52ACFEFA">
      <w:start w:val="1"/>
      <w:numFmt w:val="bullet"/>
      <w:lvlText w:val="•"/>
      <w:lvlJc w:val="left"/>
      <w:pPr>
        <w:tabs>
          <w:tab w:val="num" w:pos="720"/>
        </w:tabs>
        <w:ind w:left="720" w:hanging="360"/>
      </w:pPr>
      <w:rPr>
        <w:rFonts w:ascii="Arial" w:hAnsi="Arial" w:hint="default"/>
      </w:rPr>
    </w:lvl>
    <w:lvl w:ilvl="1" w:tplc="4F947090">
      <w:start w:val="1"/>
      <w:numFmt w:val="bullet"/>
      <w:lvlText w:val="•"/>
      <w:lvlJc w:val="left"/>
      <w:pPr>
        <w:tabs>
          <w:tab w:val="num" w:pos="1440"/>
        </w:tabs>
        <w:ind w:left="1440" w:hanging="360"/>
      </w:pPr>
      <w:rPr>
        <w:rFonts w:ascii="Arial" w:hAnsi="Arial" w:hint="default"/>
      </w:rPr>
    </w:lvl>
    <w:lvl w:ilvl="2" w:tplc="DD70CCBA">
      <w:start w:val="1"/>
      <w:numFmt w:val="bullet"/>
      <w:lvlText w:val="•"/>
      <w:lvlJc w:val="left"/>
      <w:pPr>
        <w:tabs>
          <w:tab w:val="num" w:pos="2160"/>
        </w:tabs>
        <w:ind w:left="2160" w:hanging="360"/>
      </w:pPr>
      <w:rPr>
        <w:rFonts w:ascii="Arial" w:hAnsi="Arial" w:hint="default"/>
      </w:rPr>
    </w:lvl>
    <w:lvl w:ilvl="3" w:tplc="B86EED6E" w:tentative="1">
      <w:start w:val="1"/>
      <w:numFmt w:val="bullet"/>
      <w:lvlText w:val="•"/>
      <w:lvlJc w:val="left"/>
      <w:pPr>
        <w:tabs>
          <w:tab w:val="num" w:pos="2880"/>
        </w:tabs>
        <w:ind w:left="2880" w:hanging="360"/>
      </w:pPr>
      <w:rPr>
        <w:rFonts w:ascii="Arial" w:hAnsi="Arial" w:hint="default"/>
      </w:rPr>
    </w:lvl>
    <w:lvl w:ilvl="4" w:tplc="3918B02C" w:tentative="1">
      <w:start w:val="1"/>
      <w:numFmt w:val="bullet"/>
      <w:lvlText w:val="•"/>
      <w:lvlJc w:val="left"/>
      <w:pPr>
        <w:tabs>
          <w:tab w:val="num" w:pos="3600"/>
        </w:tabs>
        <w:ind w:left="3600" w:hanging="360"/>
      </w:pPr>
      <w:rPr>
        <w:rFonts w:ascii="Arial" w:hAnsi="Arial" w:hint="default"/>
      </w:rPr>
    </w:lvl>
    <w:lvl w:ilvl="5" w:tplc="19F09476" w:tentative="1">
      <w:start w:val="1"/>
      <w:numFmt w:val="bullet"/>
      <w:lvlText w:val="•"/>
      <w:lvlJc w:val="left"/>
      <w:pPr>
        <w:tabs>
          <w:tab w:val="num" w:pos="4320"/>
        </w:tabs>
        <w:ind w:left="4320" w:hanging="360"/>
      </w:pPr>
      <w:rPr>
        <w:rFonts w:ascii="Arial" w:hAnsi="Arial" w:hint="default"/>
      </w:rPr>
    </w:lvl>
    <w:lvl w:ilvl="6" w:tplc="EB1EA262" w:tentative="1">
      <w:start w:val="1"/>
      <w:numFmt w:val="bullet"/>
      <w:lvlText w:val="•"/>
      <w:lvlJc w:val="left"/>
      <w:pPr>
        <w:tabs>
          <w:tab w:val="num" w:pos="5040"/>
        </w:tabs>
        <w:ind w:left="5040" w:hanging="360"/>
      </w:pPr>
      <w:rPr>
        <w:rFonts w:ascii="Arial" w:hAnsi="Arial" w:hint="default"/>
      </w:rPr>
    </w:lvl>
    <w:lvl w:ilvl="7" w:tplc="FBBAB79A" w:tentative="1">
      <w:start w:val="1"/>
      <w:numFmt w:val="bullet"/>
      <w:lvlText w:val="•"/>
      <w:lvlJc w:val="left"/>
      <w:pPr>
        <w:tabs>
          <w:tab w:val="num" w:pos="5760"/>
        </w:tabs>
        <w:ind w:left="5760" w:hanging="360"/>
      </w:pPr>
      <w:rPr>
        <w:rFonts w:ascii="Arial" w:hAnsi="Arial" w:hint="default"/>
      </w:rPr>
    </w:lvl>
    <w:lvl w:ilvl="8" w:tplc="21844AE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6F81EFA"/>
    <w:multiLevelType w:val="hybridMultilevel"/>
    <w:tmpl w:val="37E6BD98"/>
    <w:lvl w:ilvl="0" w:tplc="D3E2310E">
      <w:start w:val="11"/>
      <w:numFmt w:val="bullet"/>
      <w:lvlText w:val="-"/>
      <w:lvlJc w:val="left"/>
      <w:pPr>
        <w:ind w:left="720" w:hanging="360"/>
      </w:pPr>
      <w:rPr>
        <w:rFonts w:ascii="Arial" w:eastAsia="Times New Roman" w:hAnsi="Arial" w:cs="Arial" w:hint="default"/>
      </w:rPr>
    </w:lvl>
    <w:lvl w:ilvl="1" w:tplc="D3E2310E">
      <w:start w:val="11"/>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9B65B95"/>
    <w:multiLevelType w:val="singleLevel"/>
    <w:tmpl w:val="C7464A54"/>
    <w:lvl w:ilvl="0">
      <w:numFmt w:val="bullet"/>
      <w:pStyle w:val="ToRBullets"/>
      <w:lvlText w:val="-"/>
      <w:lvlJc w:val="left"/>
      <w:pPr>
        <w:tabs>
          <w:tab w:val="num" w:pos="360"/>
        </w:tabs>
        <w:ind w:left="360" w:hanging="360"/>
      </w:pPr>
      <w:rPr>
        <w:rFonts w:hint="default"/>
      </w:rPr>
    </w:lvl>
  </w:abstractNum>
  <w:abstractNum w:abstractNumId="12" w15:restartNumberingAfterBreak="0">
    <w:nsid w:val="5B3966CB"/>
    <w:multiLevelType w:val="hybridMultilevel"/>
    <w:tmpl w:val="A3823948"/>
    <w:lvl w:ilvl="0" w:tplc="0F266A6C">
      <w:start w:val="1"/>
      <w:numFmt w:val="decimal"/>
      <w:lvlText w:val="%1)"/>
      <w:lvlJc w:val="left"/>
      <w:pPr>
        <w:ind w:left="720" w:hanging="360"/>
      </w:pPr>
      <w:rPr>
        <w:rFonts w:hint="default"/>
        <w:b w:val="0"/>
        <w:i w:val="0"/>
        <w:color w:val="auto"/>
      </w:rPr>
    </w:lvl>
    <w:lvl w:ilvl="1" w:tplc="6B123184">
      <w:start w:val="1"/>
      <w:numFmt w:val="lowerLetter"/>
      <w:lvlText w:val="%2."/>
      <w:lvlJc w:val="left"/>
      <w:pPr>
        <w:ind w:left="1440" w:hanging="360"/>
      </w:pPr>
      <w:rPr>
        <w:b w:val="0"/>
        <w:i w:val="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FE063C7"/>
    <w:multiLevelType w:val="hybridMultilevel"/>
    <w:tmpl w:val="14B83266"/>
    <w:lvl w:ilvl="0" w:tplc="ECF40C26">
      <w:start w:val="1"/>
      <w:numFmt w:val="bullet"/>
      <w:lvlText w:val=""/>
      <w:lvlJc w:val="left"/>
      <w:pPr>
        <w:tabs>
          <w:tab w:val="num" w:pos="720"/>
        </w:tabs>
        <w:ind w:left="720" w:hanging="360"/>
      </w:pPr>
      <w:rPr>
        <w:rFonts w:ascii="Wingdings" w:hAnsi="Wingdings" w:hint="default"/>
      </w:rPr>
    </w:lvl>
    <w:lvl w:ilvl="1" w:tplc="70BE92CC" w:tentative="1">
      <w:start w:val="1"/>
      <w:numFmt w:val="bullet"/>
      <w:lvlText w:val=""/>
      <w:lvlJc w:val="left"/>
      <w:pPr>
        <w:tabs>
          <w:tab w:val="num" w:pos="1440"/>
        </w:tabs>
        <w:ind w:left="1440" w:hanging="360"/>
      </w:pPr>
      <w:rPr>
        <w:rFonts w:ascii="Wingdings" w:hAnsi="Wingdings" w:hint="default"/>
      </w:rPr>
    </w:lvl>
    <w:lvl w:ilvl="2" w:tplc="1C1CD4E4" w:tentative="1">
      <w:start w:val="1"/>
      <w:numFmt w:val="bullet"/>
      <w:lvlText w:val=""/>
      <w:lvlJc w:val="left"/>
      <w:pPr>
        <w:tabs>
          <w:tab w:val="num" w:pos="2160"/>
        </w:tabs>
        <w:ind w:left="2160" w:hanging="360"/>
      </w:pPr>
      <w:rPr>
        <w:rFonts w:ascii="Wingdings" w:hAnsi="Wingdings" w:hint="default"/>
      </w:rPr>
    </w:lvl>
    <w:lvl w:ilvl="3" w:tplc="E8D6F496" w:tentative="1">
      <w:start w:val="1"/>
      <w:numFmt w:val="bullet"/>
      <w:lvlText w:val=""/>
      <w:lvlJc w:val="left"/>
      <w:pPr>
        <w:tabs>
          <w:tab w:val="num" w:pos="2880"/>
        </w:tabs>
        <w:ind w:left="2880" w:hanging="360"/>
      </w:pPr>
      <w:rPr>
        <w:rFonts w:ascii="Wingdings" w:hAnsi="Wingdings" w:hint="default"/>
      </w:rPr>
    </w:lvl>
    <w:lvl w:ilvl="4" w:tplc="AC2C9B42" w:tentative="1">
      <w:start w:val="1"/>
      <w:numFmt w:val="bullet"/>
      <w:lvlText w:val=""/>
      <w:lvlJc w:val="left"/>
      <w:pPr>
        <w:tabs>
          <w:tab w:val="num" w:pos="3600"/>
        </w:tabs>
        <w:ind w:left="3600" w:hanging="360"/>
      </w:pPr>
      <w:rPr>
        <w:rFonts w:ascii="Wingdings" w:hAnsi="Wingdings" w:hint="default"/>
      </w:rPr>
    </w:lvl>
    <w:lvl w:ilvl="5" w:tplc="996088E2" w:tentative="1">
      <w:start w:val="1"/>
      <w:numFmt w:val="bullet"/>
      <w:lvlText w:val=""/>
      <w:lvlJc w:val="left"/>
      <w:pPr>
        <w:tabs>
          <w:tab w:val="num" w:pos="4320"/>
        </w:tabs>
        <w:ind w:left="4320" w:hanging="360"/>
      </w:pPr>
      <w:rPr>
        <w:rFonts w:ascii="Wingdings" w:hAnsi="Wingdings" w:hint="default"/>
      </w:rPr>
    </w:lvl>
    <w:lvl w:ilvl="6" w:tplc="BCA0C790" w:tentative="1">
      <w:start w:val="1"/>
      <w:numFmt w:val="bullet"/>
      <w:lvlText w:val=""/>
      <w:lvlJc w:val="left"/>
      <w:pPr>
        <w:tabs>
          <w:tab w:val="num" w:pos="5040"/>
        </w:tabs>
        <w:ind w:left="5040" w:hanging="360"/>
      </w:pPr>
      <w:rPr>
        <w:rFonts w:ascii="Wingdings" w:hAnsi="Wingdings" w:hint="default"/>
      </w:rPr>
    </w:lvl>
    <w:lvl w:ilvl="7" w:tplc="876265C8" w:tentative="1">
      <w:start w:val="1"/>
      <w:numFmt w:val="bullet"/>
      <w:lvlText w:val=""/>
      <w:lvlJc w:val="left"/>
      <w:pPr>
        <w:tabs>
          <w:tab w:val="num" w:pos="5760"/>
        </w:tabs>
        <w:ind w:left="5760" w:hanging="360"/>
      </w:pPr>
      <w:rPr>
        <w:rFonts w:ascii="Wingdings" w:hAnsi="Wingdings" w:hint="default"/>
      </w:rPr>
    </w:lvl>
    <w:lvl w:ilvl="8" w:tplc="2F1CCCB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E65A30"/>
    <w:multiLevelType w:val="hybridMultilevel"/>
    <w:tmpl w:val="66320C66"/>
    <w:lvl w:ilvl="0" w:tplc="ED940B16">
      <w:start w:val="1"/>
      <w:numFmt w:val="bullet"/>
      <w:lvlText w:val="•"/>
      <w:lvlJc w:val="left"/>
      <w:pPr>
        <w:tabs>
          <w:tab w:val="num" w:pos="720"/>
        </w:tabs>
        <w:ind w:left="720" w:hanging="360"/>
      </w:pPr>
      <w:rPr>
        <w:rFonts w:ascii="Arial" w:hAnsi="Arial" w:hint="default"/>
      </w:rPr>
    </w:lvl>
    <w:lvl w:ilvl="1" w:tplc="958A7902" w:tentative="1">
      <w:start w:val="1"/>
      <w:numFmt w:val="bullet"/>
      <w:lvlText w:val="•"/>
      <w:lvlJc w:val="left"/>
      <w:pPr>
        <w:tabs>
          <w:tab w:val="num" w:pos="1440"/>
        </w:tabs>
        <w:ind w:left="1440" w:hanging="360"/>
      </w:pPr>
      <w:rPr>
        <w:rFonts w:ascii="Arial" w:hAnsi="Arial" w:hint="default"/>
      </w:rPr>
    </w:lvl>
    <w:lvl w:ilvl="2" w:tplc="A4388BA0" w:tentative="1">
      <w:start w:val="1"/>
      <w:numFmt w:val="bullet"/>
      <w:lvlText w:val="•"/>
      <w:lvlJc w:val="left"/>
      <w:pPr>
        <w:tabs>
          <w:tab w:val="num" w:pos="2160"/>
        </w:tabs>
        <w:ind w:left="2160" w:hanging="360"/>
      </w:pPr>
      <w:rPr>
        <w:rFonts w:ascii="Arial" w:hAnsi="Arial" w:hint="default"/>
      </w:rPr>
    </w:lvl>
    <w:lvl w:ilvl="3" w:tplc="E1F4EF2E" w:tentative="1">
      <w:start w:val="1"/>
      <w:numFmt w:val="bullet"/>
      <w:lvlText w:val="•"/>
      <w:lvlJc w:val="left"/>
      <w:pPr>
        <w:tabs>
          <w:tab w:val="num" w:pos="2880"/>
        </w:tabs>
        <w:ind w:left="2880" w:hanging="360"/>
      </w:pPr>
      <w:rPr>
        <w:rFonts w:ascii="Arial" w:hAnsi="Arial" w:hint="default"/>
      </w:rPr>
    </w:lvl>
    <w:lvl w:ilvl="4" w:tplc="522E389E" w:tentative="1">
      <w:start w:val="1"/>
      <w:numFmt w:val="bullet"/>
      <w:lvlText w:val="•"/>
      <w:lvlJc w:val="left"/>
      <w:pPr>
        <w:tabs>
          <w:tab w:val="num" w:pos="3600"/>
        </w:tabs>
        <w:ind w:left="3600" w:hanging="360"/>
      </w:pPr>
      <w:rPr>
        <w:rFonts w:ascii="Arial" w:hAnsi="Arial" w:hint="default"/>
      </w:rPr>
    </w:lvl>
    <w:lvl w:ilvl="5" w:tplc="6AC21AFA" w:tentative="1">
      <w:start w:val="1"/>
      <w:numFmt w:val="bullet"/>
      <w:lvlText w:val="•"/>
      <w:lvlJc w:val="left"/>
      <w:pPr>
        <w:tabs>
          <w:tab w:val="num" w:pos="4320"/>
        </w:tabs>
        <w:ind w:left="4320" w:hanging="360"/>
      </w:pPr>
      <w:rPr>
        <w:rFonts w:ascii="Arial" w:hAnsi="Arial" w:hint="default"/>
      </w:rPr>
    </w:lvl>
    <w:lvl w:ilvl="6" w:tplc="292CBFB2" w:tentative="1">
      <w:start w:val="1"/>
      <w:numFmt w:val="bullet"/>
      <w:lvlText w:val="•"/>
      <w:lvlJc w:val="left"/>
      <w:pPr>
        <w:tabs>
          <w:tab w:val="num" w:pos="5040"/>
        </w:tabs>
        <w:ind w:left="5040" w:hanging="360"/>
      </w:pPr>
      <w:rPr>
        <w:rFonts w:ascii="Arial" w:hAnsi="Arial" w:hint="default"/>
      </w:rPr>
    </w:lvl>
    <w:lvl w:ilvl="7" w:tplc="B4DE33AE" w:tentative="1">
      <w:start w:val="1"/>
      <w:numFmt w:val="bullet"/>
      <w:lvlText w:val="•"/>
      <w:lvlJc w:val="left"/>
      <w:pPr>
        <w:tabs>
          <w:tab w:val="num" w:pos="5760"/>
        </w:tabs>
        <w:ind w:left="5760" w:hanging="360"/>
      </w:pPr>
      <w:rPr>
        <w:rFonts w:ascii="Arial" w:hAnsi="Arial" w:hint="default"/>
      </w:rPr>
    </w:lvl>
    <w:lvl w:ilvl="8" w:tplc="05DAE15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BF97B6F"/>
    <w:multiLevelType w:val="hybridMultilevel"/>
    <w:tmpl w:val="674EACB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Times New Roman"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Times New Roman"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Times New Roman" w:hint="default"/>
      </w:rPr>
    </w:lvl>
    <w:lvl w:ilvl="8" w:tplc="0C0A0005">
      <w:start w:val="1"/>
      <w:numFmt w:val="bullet"/>
      <w:lvlText w:val=""/>
      <w:lvlJc w:val="left"/>
      <w:pPr>
        <w:ind w:left="6480" w:hanging="360"/>
      </w:pPr>
      <w:rPr>
        <w:rFonts w:ascii="Wingdings" w:hAnsi="Wingdings" w:hint="default"/>
      </w:rPr>
    </w:lvl>
  </w:abstractNum>
  <w:abstractNum w:abstractNumId="16" w15:restartNumberingAfterBreak="0">
    <w:nsid w:val="737B7C6B"/>
    <w:multiLevelType w:val="hybridMultilevel"/>
    <w:tmpl w:val="D2BE7D48"/>
    <w:lvl w:ilvl="0" w:tplc="D6BA571E">
      <w:start w:val="1"/>
      <w:numFmt w:val="bullet"/>
      <w:lvlText w:val=""/>
      <w:lvlJc w:val="left"/>
      <w:pPr>
        <w:tabs>
          <w:tab w:val="num" w:pos="720"/>
        </w:tabs>
        <w:ind w:left="720" w:hanging="360"/>
      </w:pPr>
      <w:rPr>
        <w:rFonts w:ascii="Wingdings" w:hAnsi="Wingdings" w:hint="default"/>
      </w:rPr>
    </w:lvl>
    <w:lvl w:ilvl="1" w:tplc="A7086356" w:tentative="1">
      <w:start w:val="1"/>
      <w:numFmt w:val="bullet"/>
      <w:lvlText w:val=""/>
      <w:lvlJc w:val="left"/>
      <w:pPr>
        <w:tabs>
          <w:tab w:val="num" w:pos="1440"/>
        </w:tabs>
        <w:ind w:left="1440" w:hanging="360"/>
      </w:pPr>
      <w:rPr>
        <w:rFonts w:ascii="Wingdings" w:hAnsi="Wingdings" w:hint="default"/>
      </w:rPr>
    </w:lvl>
    <w:lvl w:ilvl="2" w:tplc="5C5460AA" w:tentative="1">
      <w:start w:val="1"/>
      <w:numFmt w:val="bullet"/>
      <w:lvlText w:val=""/>
      <w:lvlJc w:val="left"/>
      <w:pPr>
        <w:tabs>
          <w:tab w:val="num" w:pos="2160"/>
        </w:tabs>
        <w:ind w:left="2160" w:hanging="360"/>
      </w:pPr>
      <w:rPr>
        <w:rFonts w:ascii="Wingdings" w:hAnsi="Wingdings" w:hint="default"/>
      </w:rPr>
    </w:lvl>
    <w:lvl w:ilvl="3" w:tplc="EA7E7988" w:tentative="1">
      <w:start w:val="1"/>
      <w:numFmt w:val="bullet"/>
      <w:lvlText w:val=""/>
      <w:lvlJc w:val="left"/>
      <w:pPr>
        <w:tabs>
          <w:tab w:val="num" w:pos="2880"/>
        </w:tabs>
        <w:ind w:left="2880" w:hanging="360"/>
      </w:pPr>
      <w:rPr>
        <w:rFonts w:ascii="Wingdings" w:hAnsi="Wingdings" w:hint="default"/>
      </w:rPr>
    </w:lvl>
    <w:lvl w:ilvl="4" w:tplc="FAEAAC34" w:tentative="1">
      <w:start w:val="1"/>
      <w:numFmt w:val="bullet"/>
      <w:lvlText w:val=""/>
      <w:lvlJc w:val="left"/>
      <w:pPr>
        <w:tabs>
          <w:tab w:val="num" w:pos="3600"/>
        </w:tabs>
        <w:ind w:left="3600" w:hanging="360"/>
      </w:pPr>
      <w:rPr>
        <w:rFonts w:ascii="Wingdings" w:hAnsi="Wingdings" w:hint="default"/>
      </w:rPr>
    </w:lvl>
    <w:lvl w:ilvl="5" w:tplc="F2FA0D5C" w:tentative="1">
      <w:start w:val="1"/>
      <w:numFmt w:val="bullet"/>
      <w:lvlText w:val=""/>
      <w:lvlJc w:val="left"/>
      <w:pPr>
        <w:tabs>
          <w:tab w:val="num" w:pos="4320"/>
        </w:tabs>
        <w:ind w:left="4320" w:hanging="360"/>
      </w:pPr>
      <w:rPr>
        <w:rFonts w:ascii="Wingdings" w:hAnsi="Wingdings" w:hint="default"/>
      </w:rPr>
    </w:lvl>
    <w:lvl w:ilvl="6" w:tplc="EF8A36AC" w:tentative="1">
      <w:start w:val="1"/>
      <w:numFmt w:val="bullet"/>
      <w:lvlText w:val=""/>
      <w:lvlJc w:val="left"/>
      <w:pPr>
        <w:tabs>
          <w:tab w:val="num" w:pos="5040"/>
        </w:tabs>
        <w:ind w:left="5040" w:hanging="360"/>
      </w:pPr>
      <w:rPr>
        <w:rFonts w:ascii="Wingdings" w:hAnsi="Wingdings" w:hint="default"/>
      </w:rPr>
    </w:lvl>
    <w:lvl w:ilvl="7" w:tplc="D6F619E4" w:tentative="1">
      <w:start w:val="1"/>
      <w:numFmt w:val="bullet"/>
      <w:lvlText w:val=""/>
      <w:lvlJc w:val="left"/>
      <w:pPr>
        <w:tabs>
          <w:tab w:val="num" w:pos="5760"/>
        </w:tabs>
        <w:ind w:left="5760" w:hanging="360"/>
      </w:pPr>
      <w:rPr>
        <w:rFonts w:ascii="Wingdings" w:hAnsi="Wingdings" w:hint="default"/>
      </w:rPr>
    </w:lvl>
    <w:lvl w:ilvl="8" w:tplc="AED6DC4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082A3D"/>
    <w:multiLevelType w:val="hybridMultilevel"/>
    <w:tmpl w:val="31F27B42"/>
    <w:lvl w:ilvl="0" w:tplc="25C2D9F8">
      <w:start w:val="1"/>
      <w:numFmt w:val="bullet"/>
      <w:lvlText w:val=""/>
      <w:lvlJc w:val="left"/>
      <w:pPr>
        <w:tabs>
          <w:tab w:val="num" w:pos="720"/>
        </w:tabs>
        <w:ind w:left="720" w:hanging="360"/>
      </w:pPr>
      <w:rPr>
        <w:rFonts w:ascii="Wingdings" w:hAnsi="Wingdings" w:hint="default"/>
      </w:rPr>
    </w:lvl>
    <w:lvl w:ilvl="1" w:tplc="8D8CB87E" w:tentative="1">
      <w:start w:val="1"/>
      <w:numFmt w:val="bullet"/>
      <w:lvlText w:val=""/>
      <w:lvlJc w:val="left"/>
      <w:pPr>
        <w:tabs>
          <w:tab w:val="num" w:pos="1440"/>
        </w:tabs>
        <w:ind w:left="1440" w:hanging="360"/>
      </w:pPr>
      <w:rPr>
        <w:rFonts w:ascii="Wingdings" w:hAnsi="Wingdings" w:hint="default"/>
      </w:rPr>
    </w:lvl>
    <w:lvl w:ilvl="2" w:tplc="419C85CC" w:tentative="1">
      <w:start w:val="1"/>
      <w:numFmt w:val="bullet"/>
      <w:lvlText w:val=""/>
      <w:lvlJc w:val="left"/>
      <w:pPr>
        <w:tabs>
          <w:tab w:val="num" w:pos="2160"/>
        </w:tabs>
        <w:ind w:left="2160" w:hanging="360"/>
      </w:pPr>
      <w:rPr>
        <w:rFonts w:ascii="Wingdings" w:hAnsi="Wingdings" w:hint="default"/>
      </w:rPr>
    </w:lvl>
    <w:lvl w:ilvl="3" w:tplc="6832E4AE" w:tentative="1">
      <w:start w:val="1"/>
      <w:numFmt w:val="bullet"/>
      <w:lvlText w:val=""/>
      <w:lvlJc w:val="left"/>
      <w:pPr>
        <w:tabs>
          <w:tab w:val="num" w:pos="2880"/>
        </w:tabs>
        <w:ind w:left="2880" w:hanging="360"/>
      </w:pPr>
      <w:rPr>
        <w:rFonts w:ascii="Wingdings" w:hAnsi="Wingdings" w:hint="default"/>
      </w:rPr>
    </w:lvl>
    <w:lvl w:ilvl="4" w:tplc="A96ACCE8" w:tentative="1">
      <w:start w:val="1"/>
      <w:numFmt w:val="bullet"/>
      <w:lvlText w:val=""/>
      <w:lvlJc w:val="left"/>
      <w:pPr>
        <w:tabs>
          <w:tab w:val="num" w:pos="3600"/>
        </w:tabs>
        <w:ind w:left="3600" w:hanging="360"/>
      </w:pPr>
      <w:rPr>
        <w:rFonts w:ascii="Wingdings" w:hAnsi="Wingdings" w:hint="default"/>
      </w:rPr>
    </w:lvl>
    <w:lvl w:ilvl="5" w:tplc="97424A54" w:tentative="1">
      <w:start w:val="1"/>
      <w:numFmt w:val="bullet"/>
      <w:lvlText w:val=""/>
      <w:lvlJc w:val="left"/>
      <w:pPr>
        <w:tabs>
          <w:tab w:val="num" w:pos="4320"/>
        </w:tabs>
        <w:ind w:left="4320" w:hanging="360"/>
      </w:pPr>
      <w:rPr>
        <w:rFonts w:ascii="Wingdings" w:hAnsi="Wingdings" w:hint="default"/>
      </w:rPr>
    </w:lvl>
    <w:lvl w:ilvl="6" w:tplc="D8E8ED2A" w:tentative="1">
      <w:start w:val="1"/>
      <w:numFmt w:val="bullet"/>
      <w:lvlText w:val=""/>
      <w:lvlJc w:val="left"/>
      <w:pPr>
        <w:tabs>
          <w:tab w:val="num" w:pos="5040"/>
        </w:tabs>
        <w:ind w:left="5040" w:hanging="360"/>
      </w:pPr>
      <w:rPr>
        <w:rFonts w:ascii="Wingdings" w:hAnsi="Wingdings" w:hint="default"/>
      </w:rPr>
    </w:lvl>
    <w:lvl w:ilvl="7" w:tplc="19F2C898" w:tentative="1">
      <w:start w:val="1"/>
      <w:numFmt w:val="bullet"/>
      <w:lvlText w:val=""/>
      <w:lvlJc w:val="left"/>
      <w:pPr>
        <w:tabs>
          <w:tab w:val="num" w:pos="5760"/>
        </w:tabs>
        <w:ind w:left="5760" w:hanging="360"/>
      </w:pPr>
      <w:rPr>
        <w:rFonts w:ascii="Wingdings" w:hAnsi="Wingdings" w:hint="default"/>
      </w:rPr>
    </w:lvl>
    <w:lvl w:ilvl="8" w:tplc="0BFE694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F77705"/>
    <w:multiLevelType w:val="hybridMultilevel"/>
    <w:tmpl w:val="B97689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8"/>
  </w:num>
  <w:num w:numId="4">
    <w:abstractNumId w:val="15"/>
  </w:num>
  <w:num w:numId="5">
    <w:abstractNumId w:val="5"/>
  </w:num>
  <w:num w:numId="6">
    <w:abstractNumId w:val="9"/>
  </w:num>
  <w:num w:numId="7">
    <w:abstractNumId w:val="4"/>
  </w:num>
  <w:num w:numId="8">
    <w:abstractNumId w:val="18"/>
  </w:num>
  <w:num w:numId="9">
    <w:abstractNumId w:val="14"/>
  </w:num>
  <w:num w:numId="10">
    <w:abstractNumId w:val="3"/>
  </w:num>
  <w:num w:numId="11">
    <w:abstractNumId w:val="6"/>
  </w:num>
  <w:num w:numId="12">
    <w:abstractNumId w:val="17"/>
  </w:num>
  <w:num w:numId="13">
    <w:abstractNumId w:val="13"/>
  </w:num>
  <w:num w:numId="14">
    <w:abstractNumId w:val="7"/>
  </w:num>
  <w:num w:numId="15">
    <w:abstractNumId w:val="2"/>
  </w:num>
  <w:num w:numId="16">
    <w:abstractNumId w:val="16"/>
  </w:num>
  <w:num w:numId="17">
    <w:abstractNumId w:val="12"/>
  </w:num>
  <w:num w:numId="18">
    <w:abstractNumId w:val="10"/>
  </w:num>
  <w:num w:numId="19">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5EDD"/>
    <w:rsid w:val="000013B1"/>
    <w:rsid w:val="00001E90"/>
    <w:rsid w:val="0000226E"/>
    <w:rsid w:val="000113FF"/>
    <w:rsid w:val="00017647"/>
    <w:rsid w:val="00021752"/>
    <w:rsid w:val="00023CFF"/>
    <w:rsid w:val="00024483"/>
    <w:rsid w:val="000262BE"/>
    <w:rsid w:val="000277D5"/>
    <w:rsid w:val="00027F4A"/>
    <w:rsid w:val="0003121D"/>
    <w:rsid w:val="00033686"/>
    <w:rsid w:val="00035CD4"/>
    <w:rsid w:val="00040755"/>
    <w:rsid w:val="00041BB1"/>
    <w:rsid w:val="00041D5A"/>
    <w:rsid w:val="00047B54"/>
    <w:rsid w:val="00050EF9"/>
    <w:rsid w:val="000531F7"/>
    <w:rsid w:val="00067F9E"/>
    <w:rsid w:val="00072C99"/>
    <w:rsid w:val="00075B32"/>
    <w:rsid w:val="00081065"/>
    <w:rsid w:val="000816C8"/>
    <w:rsid w:val="0008583C"/>
    <w:rsid w:val="00090D7B"/>
    <w:rsid w:val="00093817"/>
    <w:rsid w:val="00093B29"/>
    <w:rsid w:val="000A1412"/>
    <w:rsid w:val="000A3D2A"/>
    <w:rsid w:val="000A4DEA"/>
    <w:rsid w:val="000B3123"/>
    <w:rsid w:val="000B5595"/>
    <w:rsid w:val="000B59E6"/>
    <w:rsid w:val="000B75C2"/>
    <w:rsid w:val="000C1D09"/>
    <w:rsid w:val="000C1D2D"/>
    <w:rsid w:val="000D64B6"/>
    <w:rsid w:val="000E29A4"/>
    <w:rsid w:val="000F013F"/>
    <w:rsid w:val="000F1675"/>
    <w:rsid w:val="00105290"/>
    <w:rsid w:val="00105C81"/>
    <w:rsid w:val="0010707D"/>
    <w:rsid w:val="00127657"/>
    <w:rsid w:val="00141339"/>
    <w:rsid w:val="00145118"/>
    <w:rsid w:val="00153636"/>
    <w:rsid w:val="00154B32"/>
    <w:rsid w:val="001562B1"/>
    <w:rsid w:val="00160FB4"/>
    <w:rsid w:val="00167D0E"/>
    <w:rsid w:val="0019433C"/>
    <w:rsid w:val="001A1EFB"/>
    <w:rsid w:val="001A360E"/>
    <w:rsid w:val="001A4E4E"/>
    <w:rsid w:val="001A553C"/>
    <w:rsid w:val="001A6E82"/>
    <w:rsid w:val="001B1FC0"/>
    <w:rsid w:val="001B2791"/>
    <w:rsid w:val="001C369A"/>
    <w:rsid w:val="001C711D"/>
    <w:rsid w:val="001C7D29"/>
    <w:rsid w:val="001E7889"/>
    <w:rsid w:val="001F4879"/>
    <w:rsid w:val="001F690B"/>
    <w:rsid w:val="00201431"/>
    <w:rsid w:val="00203F3B"/>
    <w:rsid w:val="00211B2F"/>
    <w:rsid w:val="0021495C"/>
    <w:rsid w:val="00221E3E"/>
    <w:rsid w:val="00225604"/>
    <w:rsid w:val="0022581C"/>
    <w:rsid w:val="0024532B"/>
    <w:rsid w:val="00250366"/>
    <w:rsid w:val="0025682D"/>
    <w:rsid w:val="00275C4A"/>
    <w:rsid w:val="002A215E"/>
    <w:rsid w:val="002A2C74"/>
    <w:rsid w:val="002B5B70"/>
    <w:rsid w:val="002B7CBB"/>
    <w:rsid w:val="002C5C5F"/>
    <w:rsid w:val="002D65C9"/>
    <w:rsid w:val="00311ECD"/>
    <w:rsid w:val="00342A10"/>
    <w:rsid w:val="00343F0E"/>
    <w:rsid w:val="00345C79"/>
    <w:rsid w:val="00346010"/>
    <w:rsid w:val="00346DCD"/>
    <w:rsid w:val="003471DB"/>
    <w:rsid w:val="00353012"/>
    <w:rsid w:val="00361AF7"/>
    <w:rsid w:val="00363479"/>
    <w:rsid w:val="00365B86"/>
    <w:rsid w:val="0037007E"/>
    <w:rsid w:val="0037541E"/>
    <w:rsid w:val="00375A92"/>
    <w:rsid w:val="00381028"/>
    <w:rsid w:val="0038190C"/>
    <w:rsid w:val="00382F22"/>
    <w:rsid w:val="00385DD4"/>
    <w:rsid w:val="003879FA"/>
    <w:rsid w:val="003906B3"/>
    <w:rsid w:val="0039117A"/>
    <w:rsid w:val="00395CA6"/>
    <w:rsid w:val="00395F64"/>
    <w:rsid w:val="00397E4F"/>
    <w:rsid w:val="003B420E"/>
    <w:rsid w:val="003B5887"/>
    <w:rsid w:val="003B65F3"/>
    <w:rsid w:val="003C3E6E"/>
    <w:rsid w:val="003D536D"/>
    <w:rsid w:val="003F43BE"/>
    <w:rsid w:val="0040008B"/>
    <w:rsid w:val="00400495"/>
    <w:rsid w:val="004156C8"/>
    <w:rsid w:val="004309FF"/>
    <w:rsid w:val="00431A60"/>
    <w:rsid w:val="00434BAC"/>
    <w:rsid w:val="00434F18"/>
    <w:rsid w:val="00454BF0"/>
    <w:rsid w:val="0046249E"/>
    <w:rsid w:val="00470D70"/>
    <w:rsid w:val="004777B0"/>
    <w:rsid w:val="00487742"/>
    <w:rsid w:val="0049285F"/>
    <w:rsid w:val="00492B28"/>
    <w:rsid w:val="0049441C"/>
    <w:rsid w:val="004A6A49"/>
    <w:rsid w:val="004B199F"/>
    <w:rsid w:val="004B2BAE"/>
    <w:rsid w:val="004C294B"/>
    <w:rsid w:val="004C2AF2"/>
    <w:rsid w:val="004E679F"/>
    <w:rsid w:val="004E7305"/>
    <w:rsid w:val="004F3C0F"/>
    <w:rsid w:val="004F5402"/>
    <w:rsid w:val="004F5F80"/>
    <w:rsid w:val="004F68F6"/>
    <w:rsid w:val="004F7712"/>
    <w:rsid w:val="005026C0"/>
    <w:rsid w:val="00504693"/>
    <w:rsid w:val="00506E0E"/>
    <w:rsid w:val="00507B6C"/>
    <w:rsid w:val="005100CD"/>
    <w:rsid w:val="005219A7"/>
    <w:rsid w:val="00524025"/>
    <w:rsid w:val="00542B88"/>
    <w:rsid w:val="00544A40"/>
    <w:rsid w:val="005465B3"/>
    <w:rsid w:val="00553BCE"/>
    <w:rsid w:val="00553CBD"/>
    <w:rsid w:val="00554C5D"/>
    <w:rsid w:val="005558B7"/>
    <w:rsid w:val="0055592C"/>
    <w:rsid w:val="00561726"/>
    <w:rsid w:val="00581883"/>
    <w:rsid w:val="005929FB"/>
    <w:rsid w:val="00595832"/>
    <w:rsid w:val="005A2DDE"/>
    <w:rsid w:val="005A332C"/>
    <w:rsid w:val="005A37DD"/>
    <w:rsid w:val="005C1A2E"/>
    <w:rsid w:val="005C3546"/>
    <w:rsid w:val="005D0744"/>
    <w:rsid w:val="005D50A8"/>
    <w:rsid w:val="005D5101"/>
    <w:rsid w:val="005D5B76"/>
    <w:rsid w:val="005E093F"/>
    <w:rsid w:val="005F6691"/>
    <w:rsid w:val="00613147"/>
    <w:rsid w:val="006138C2"/>
    <w:rsid w:val="00613F19"/>
    <w:rsid w:val="00615F86"/>
    <w:rsid w:val="006172AC"/>
    <w:rsid w:val="00617E8C"/>
    <w:rsid w:val="00622539"/>
    <w:rsid w:val="006230A8"/>
    <w:rsid w:val="00627A4B"/>
    <w:rsid w:val="006365B1"/>
    <w:rsid w:val="006440B7"/>
    <w:rsid w:val="006448E8"/>
    <w:rsid w:val="00656F19"/>
    <w:rsid w:val="00660897"/>
    <w:rsid w:val="006626A4"/>
    <w:rsid w:val="0066331A"/>
    <w:rsid w:val="006675E2"/>
    <w:rsid w:val="006678BC"/>
    <w:rsid w:val="006727DC"/>
    <w:rsid w:val="0067291B"/>
    <w:rsid w:val="00674313"/>
    <w:rsid w:val="00675A78"/>
    <w:rsid w:val="006768CB"/>
    <w:rsid w:val="00676AD4"/>
    <w:rsid w:val="00677118"/>
    <w:rsid w:val="00677B58"/>
    <w:rsid w:val="00682F8E"/>
    <w:rsid w:val="00683E8A"/>
    <w:rsid w:val="00690C40"/>
    <w:rsid w:val="006A2DCB"/>
    <w:rsid w:val="006A4F18"/>
    <w:rsid w:val="006A7697"/>
    <w:rsid w:val="006B3ADB"/>
    <w:rsid w:val="006B6A7B"/>
    <w:rsid w:val="006D64CA"/>
    <w:rsid w:val="006E0EA3"/>
    <w:rsid w:val="006E15D4"/>
    <w:rsid w:val="00704500"/>
    <w:rsid w:val="007068F8"/>
    <w:rsid w:val="007211D7"/>
    <w:rsid w:val="00721F44"/>
    <w:rsid w:val="0073673E"/>
    <w:rsid w:val="0073717C"/>
    <w:rsid w:val="00740C28"/>
    <w:rsid w:val="00741B1F"/>
    <w:rsid w:val="007473E3"/>
    <w:rsid w:val="00756A4F"/>
    <w:rsid w:val="007602B3"/>
    <w:rsid w:val="00776600"/>
    <w:rsid w:val="00784162"/>
    <w:rsid w:val="007917DB"/>
    <w:rsid w:val="0079191C"/>
    <w:rsid w:val="007922D0"/>
    <w:rsid w:val="00797848"/>
    <w:rsid w:val="007B025B"/>
    <w:rsid w:val="007B3261"/>
    <w:rsid w:val="007D042E"/>
    <w:rsid w:val="007E27A9"/>
    <w:rsid w:val="007F2020"/>
    <w:rsid w:val="007F2FFE"/>
    <w:rsid w:val="007F472A"/>
    <w:rsid w:val="007F690D"/>
    <w:rsid w:val="007F69F1"/>
    <w:rsid w:val="00803D75"/>
    <w:rsid w:val="008057EC"/>
    <w:rsid w:val="00805AB9"/>
    <w:rsid w:val="0081143D"/>
    <w:rsid w:val="00816E88"/>
    <w:rsid w:val="00820694"/>
    <w:rsid w:val="008221A3"/>
    <w:rsid w:val="00825538"/>
    <w:rsid w:val="00837430"/>
    <w:rsid w:val="00837A97"/>
    <w:rsid w:val="00841105"/>
    <w:rsid w:val="00847FF5"/>
    <w:rsid w:val="00872BAB"/>
    <w:rsid w:val="008772AD"/>
    <w:rsid w:val="008912C5"/>
    <w:rsid w:val="008922E5"/>
    <w:rsid w:val="0089793B"/>
    <w:rsid w:val="008A63F1"/>
    <w:rsid w:val="008A741F"/>
    <w:rsid w:val="008B3E75"/>
    <w:rsid w:val="008B7908"/>
    <w:rsid w:val="008C43BC"/>
    <w:rsid w:val="008C7F3F"/>
    <w:rsid w:val="008D55E5"/>
    <w:rsid w:val="008D5EDD"/>
    <w:rsid w:val="008E73BE"/>
    <w:rsid w:val="008F3077"/>
    <w:rsid w:val="008F3277"/>
    <w:rsid w:val="008F50C8"/>
    <w:rsid w:val="008F7E25"/>
    <w:rsid w:val="00917B35"/>
    <w:rsid w:val="00921D23"/>
    <w:rsid w:val="00926A49"/>
    <w:rsid w:val="009327F6"/>
    <w:rsid w:val="009472EC"/>
    <w:rsid w:val="00955EEC"/>
    <w:rsid w:val="00956007"/>
    <w:rsid w:val="009635B1"/>
    <w:rsid w:val="00964455"/>
    <w:rsid w:val="00965952"/>
    <w:rsid w:val="00982A57"/>
    <w:rsid w:val="00983D26"/>
    <w:rsid w:val="00983E83"/>
    <w:rsid w:val="009845D1"/>
    <w:rsid w:val="00995E44"/>
    <w:rsid w:val="009B35D0"/>
    <w:rsid w:val="009C51C8"/>
    <w:rsid w:val="009D3B16"/>
    <w:rsid w:val="009E3B67"/>
    <w:rsid w:val="009F4D77"/>
    <w:rsid w:val="009F5BD7"/>
    <w:rsid w:val="009F768B"/>
    <w:rsid w:val="009F7B05"/>
    <w:rsid w:val="00A01EA5"/>
    <w:rsid w:val="00A02E85"/>
    <w:rsid w:val="00A031A7"/>
    <w:rsid w:val="00A06A00"/>
    <w:rsid w:val="00A156BF"/>
    <w:rsid w:val="00A21AEF"/>
    <w:rsid w:val="00A254B6"/>
    <w:rsid w:val="00A2710D"/>
    <w:rsid w:val="00A27DFC"/>
    <w:rsid w:val="00A312C3"/>
    <w:rsid w:val="00A37B8E"/>
    <w:rsid w:val="00A40C50"/>
    <w:rsid w:val="00A47C27"/>
    <w:rsid w:val="00A543B4"/>
    <w:rsid w:val="00A6056F"/>
    <w:rsid w:val="00A620DD"/>
    <w:rsid w:val="00A63A0F"/>
    <w:rsid w:val="00A776B9"/>
    <w:rsid w:val="00A8141F"/>
    <w:rsid w:val="00A83313"/>
    <w:rsid w:val="00A87F17"/>
    <w:rsid w:val="00A922AF"/>
    <w:rsid w:val="00A96CE1"/>
    <w:rsid w:val="00AA7E55"/>
    <w:rsid w:val="00AB081C"/>
    <w:rsid w:val="00AB2F8E"/>
    <w:rsid w:val="00AC1F96"/>
    <w:rsid w:val="00AC4142"/>
    <w:rsid w:val="00AD2530"/>
    <w:rsid w:val="00AD53D3"/>
    <w:rsid w:val="00AD7806"/>
    <w:rsid w:val="00AE2DBB"/>
    <w:rsid w:val="00AE33EE"/>
    <w:rsid w:val="00AE3AF8"/>
    <w:rsid w:val="00AE7C07"/>
    <w:rsid w:val="00AF22A9"/>
    <w:rsid w:val="00B01219"/>
    <w:rsid w:val="00B018B2"/>
    <w:rsid w:val="00B131E5"/>
    <w:rsid w:val="00B21287"/>
    <w:rsid w:val="00B3217C"/>
    <w:rsid w:val="00B321D3"/>
    <w:rsid w:val="00B327AC"/>
    <w:rsid w:val="00B36599"/>
    <w:rsid w:val="00B46097"/>
    <w:rsid w:val="00B477DA"/>
    <w:rsid w:val="00B47A2F"/>
    <w:rsid w:val="00B51D4C"/>
    <w:rsid w:val="00B5475C"/>
    <w:rsid w:val="00B56B3C"/>
    <w:rsid w:val="00B61E46"/>
    <w:rsid w:val="00B70A5E"/>
    <w:rsid w:val="00B74851"/>
    <w:rsid w:val="00B84DAC"/>
    <w:rsid w:val="00B8692E"/>
    <w:rsid w:val="00B95510"/>
    <w:rsid w:val="00BA3B86"/>
    <w:rsid w:val="00BB224F"/>
    <w:rsid w:val="00BB31D2"/>
    <w:rsid w:val="00BB4F75"/>
    <w:rsid w:val="00BB5827"/>
    <w:rsid w:val="00BC18A1"/>
    <w:rsid w:val="00BC5ADF"/>
    <w:rsid w:val="00BD37E3"/>
    <w:rsid w:val="00BD3FE7"/>
    <w:rsid w:val="00BD7906"/>
    <w:rsid w:val="00BE02C8"/>
    <w:rsid w:val="00BE2DA1"/>
    <w:rsid w:val="00BE4B1B"/>
    <w:rsid w:val="00BF21D4"/>
    <w:rsid w:val="00BF2269"/>
    <w:rsid w:val="00BF4762"/>
    <w:rsid w:val="00C02DEA"/>
    <w:rsid w:val="00C06221"/>
    <w:rsid w:val="00C12839"/>
    <w:rsid w:val="00C17943"/>
    <w:rsid w:val="00C17FC5"/>
    <w:rsid w:val="00C319A2"/>
    <w:rsid w:val="00C60442"/>
    <w:rsid w:val="00C621CC"/>
    <w:rsid w:val="00C63A02"/>
    <w:rsid w:val="00C64159"/>
    <w:rsid w:val="00C659A6"/>
    <w:rsid w:val="00C67F7C"/>
    <w:rsid w:val="00C71697"/>
    <w:rsid w:val="00C731F1"/>
    <w:rsid w:val="00C852DA"/>
    <w:rsid w:val="00C9062A"/>
    <w:rsid w:val="00C93194"/>
    <w:rsid w:val="00CA4D41"/>
    <w:rsid w:val="00CB62DE"/>
    <w:rsid w:val="00CC45F4"/>
    <w:rsid w:val="00CC7AF8"/>
    <w:rsid w:val="00CD0569"/>
    <w:rsid w:val="00CD6F2A"/>
    <w:rsid w:val="00CE3C2E"/>
    <w:rsid w:val="00D00CE7"/>
    <w:rsid w:val="00D1427F"/>
    <w:rsid w:val="00D242B8"/>
    <w:rsid w:val="00D25635"/>
    <w:rsid w:val="00D34D8E"/>
    <w:rsid w:val="00D356F4"/>
    <w:rsid w:val="00D35D27"/>
    <w:rsid w:val="00D50209"/>
    <w:rsid w:val="00D55115"/>
    <w:rsid w:val="00D70743"/>
    <w:rsid w:val="00D718E7"/>
    <w:rsid w:val="00D72B11"/>
    <w:rsid w:val="00D73560"/>
    <w:rsid w:val="00D84002"/>
    <w:rsid w:val="00DB2CFA"/>
    <w:rsid w:val="00DB524C"/>
    <w:rsid w:val="00DC1FA7"/>
    <w:rsid w:val="00DC4649"/>
    <w:rsid w:val="00DC6081"/>
    <w:rsid w:val="00DD03C7"/>
    <w:rsid w:val="00DD733B"/>
    <w:rsid w:val="00DE038F"/>
    <w:rsid w:val="00DE18AF"/>
    <w:rsid w:val="00DE5519"/>
    <w:rsid w:val="00DF02B0"/>
    <w:rsid w:val="00DF04A7"/>
    <w:rsid w:val="00DF230D"/>
    <w:rsid w:val="00E007AF"/>
    <w:rsid w:val="00E07329"/>
    <w:rsid w:val="00E0763C"/>
    <w:rsid w:val="00E12CE9"/>
    <w:rsid w:val="00E20290"/>
    <w:rsid w:val="00E55C43"/>
    <w:rsid w:val="00E60E6B"/>
    <w:rsid w:val="00E6112E"/>
    <w:rsid w:val="00E702FB"/>
    <w:rsid w:val="00E72335"/>
    <w:rsid w:val="00E72E31"/>
    <w:rsid w:val="00E738DD"/>
    <w:rsid w:val="00E80460"/>
    <w:rsid w:val="00E81C8F"/>
    <w:rsid w:val="00E836FC"/>
    <w:rsid w:val="00E84E81"/>
    <w:rsid w:val="00E90B86"/>
    <w:rsid w:val="00E950E6"/>
    <w:rsid w:val="00EA2B1E"/>
    <w:rsid w:val="00EA561C"/>
    <w:rsid w:val="00EA6429"/>
    <w:rsid w:val="00EA6FBF"/>
    <w:rsid w:val="00EA73B5"/>
    <w:rsid w:val="00EC00AA"/>
    <w:rsid w:val="00EC5A34"/>
    <w:rsid w:val="00ED1CB3"/>
    <w:rsid w:val="00ED71EF"/>
    <w:rsid w:val="00EE21C1"/>
    <w:rsid w:val="00EE2A76"/>
    <w:rsid w:val="00EE4942"/>
    <w:rsid w:val="00EE4B4B"/>
    <w:rsid w:val="00EF18A7"/>
    <w:rsid w:val="00F01974"/>
    <w:rsid w:val="00F11A1D"/>
    <w:rsid w:val="00F20B1D"/>
    <w:rsid w:val="00F25A9F"/>
    <w:rsid w:val="00F31046"/>
    <w:rsid w:val="00F35E48"/>
    <w:rsid w:val="00F3732D"/>
    <w:rsid w:val="00F405D7"/>
    <w:rsid w:val="00F43501"/>
    <w:rsid w:val="00F44EC4"/>
    <w:rsid w:val="00F45111"/>
    <w:rsid w:val="00F46768"/>
    <w:rsid w:val="00F5683D"/>
    <w:rsid w:val="00F61DCA"/>
    <w:rsid w:val="00F767C2"/>
    <w:rsid w:val="00F807D5"/>
    <w:rsid w:val="00F832C8"/>
    <w:rsid w:val="00F971C0"/>
    <w:rsid w:val="00FB0DF0"/>
    <w:rsid w:val="00FB47DC"/>
    <w:rsid w:val="00FB57DB"/>
    <w:rsid w:val="00FC1E80"/>
    <w:rsid w:val="00FD05B5"/>
    <w:rsid w:val="00FD078C"/>
    <w:rsid w:val="00FD10BF"/>
    <w:rsid w:val="00FD2620"/>
    <w:rsid w:val="00FD40B3"/>
    <w:rsid w:val="00FE15F1"/>
    <w:rsid w:val="00FE701B"/>
    <w:rsid w:val="00FF5F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5:docId w15:val="{D1034118-9BB9-41F9-A3FD-11A24B1EB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2"/>
    </w:rPr>
  </w:style>
  <w:style w:type="paragraph" w:styleId="Heading1">
    <w:name w:val="heading 1"/>
    <w:basedOn w:val="Normal"/>
    <w:next w:val="Normal"/>
    <w:qFormat/>
    <w:pPr>
      <w:keepNext/>
      <w:jc w:val="left"/>
      <w:outlineLvl w:val="0"/>
    </w:pPr>
    <w:rPr>
      <w:rFonts w:ascii="Times" w:hAnsi="Times"/>
      <w:i/>
      <w:sz w:val="24"/>
    </w:rPr>
  </w:style>
  <w:style w:type="paragraph" w:styleId="Heading2">
    <w:name w:val="heading 2"/>
    <w:basedOn w:val="Normal"/>
    <w:next w:val="Normal"/>
    <w:qFormat/>
    <w:pPr>
      <w:keepNext/>
      <w:jc w:val="left"/>
      <w:outlineLvl w:val="1"/>
    </w:pPr>
    <w:rPr>
      <w:b/>
      <w:sz w:val="48"/>
    </w:rPr>
  </w:style>
  <w:style w:type="paragraph" w:styleId="Heading3">
    <w:name w:val="heading 3"/>
    <w:basedOn w:val="Normal"/>
    <w:next w:val="Normal"/>
    <w:qFormat/>
    <w:pPr>
      <w:keepNext/>
      <w:jc w:val="center"/>
      <w:outlineLvl w:val="2"/>
    </w:pPr>
    <w:rPr>
      <w:sz w:val="24"/>
    </w:rPr>
  </w:style>
  <w:style w:type="paragraph" w:styleId="Heading4">
    <w:name w:val="heading 4"/>
    <w:basedOn w:val="Normal"/>
    <w:next w:val="Normal"/>
    <w:qFormat/>
    <w:pPr>
      <w:keepNext/>
      <w:jc w:val="left"/>
      <w:outlineLvl w:val="3"/>
    </w:pPr>
    <w:rPr>
      <w:i/>
      <w:sz w:val="24"/>
    </w:rPr>
  </w:style>
  <w:style w:type="paragraph" w:styleId="Heading5">
    <w:name w:val="heading 5"/>
    <w:basedOn w:val="Normal"/>
    <w:next w:val="Normal"/>
    <w:qFormat/>
    <w:pPr>
      <w:keepNext/>
      <w:jc w:val="right"/>
      <w:outlineLvl w:val="4"/>
    </w:pPr>
    <w:rPr>
      <w:sz w:val="24"/>
    </w:rPr>
  </w:style>
  <w:style w:type="paragraph" w:styleId="Heading7">
    <w:name w:val="heading 7"/>
    <w:basedOn w:val="Normal"/>
    <w:next w:val="Normal"/>
    <w:qFormat/>
    <w:pPr>
      <w:keepNext/>
      <w:jc w:val="left"/>
      <w:outlineLvl w:val="6"/>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ind w:left="840" w:hanging="280"/>
    </w:pPr>
    <w:rPr>
      <w:rFonts w:ascii="Times" w:hAnsi="Times"/>
      <w:sz w:val="24"/>
    </w:rPr>
  </w:style>
  <w:style w:type="paragraph" w:styleId="BodyTextIndent2">
    <w:name w:val="Body Text Indent 2"/>
    <w:basedOn w:val="Normal"/>
    <w:pPr>
      <w:ind w:left="569" w:hanging="567"/>
      <w:jc w:val="left"/>
    </w:pPr>
    <w:rPr>
      <w:rFonts w:ascii="Times" w:hAnsi="Times"/>
      <w:sz w:val="24"/>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pPr>
      <w:jc w:val="left"/>
    </w:pPr>
    <w:rPr>
      <w:sz w:val="24"/>
    </w:rPr>
  </w:style>
  <w:style w:type="paragraph" w:customStyle="1" w:styleId="ToRBullets">
    <w:name w:val="ToR Bullets"/>
    <w:basedOn w:val="Normal"/>
    <w:pPr>
      <w:numPr>
        <w:numId w:val="1"/>
      </w:numPr>
      <w:tabs>
        <w:tab w:val="clear" w:pos="360"/>
        <w:tab w:val="left" w:pos="284"/>
      </w:tabs>
      <w:ind w:left="284" w:hanging="284"/>
    </w:pPr>
    <w:rPr>
      <w:snapToGrid w:val="0"/>
      <w:lang w:eastAsia="en-US"/>
    </w:rPr>
  </w:style>
  <w:style w:type="paragraph" w:customStyle="1" w:styleId="ToRWGTitle">
    <w:name w:val="ToR WG Title"/>
    <w:basedOn w:val="Normal"/>
    <w:pPr>
      <w:tabs>
        <w:tab w:val="right" w:pos="9639"/>
      </w:tabs>
      <w:outlineLvl w:val="0"/>
    </w:pPr>
  </w:style>
  <w:style w:type="paragraph" w:customStyle="1" w:styleId="ToRChairman">
    <w:name w:val="ToR Chairman"/>
    <w:basedOn w:val="Normal"/>
    <w:pPr>
      <w:tabs>
        <w:tab w:val="left" w:pos="1418"/>
      </w:tabs>
      <w:outlineLvl w:val="0"/>
    </w:pPr>
  </w:style>
  <w:style w:type="paragraph" w:customStyle="1" w:styleId="ToRTermsofReference">
    <w:name w:val="ToR Terms of Reference"/>
    <w:basedOn w:val="Normal"/>
    <w:pPr>
      <w:jc w:val="left"/>
      <w:outlineLvl w:val="0"/>
    </w:pPr>
    <w:rPr>
      <w:u w:val="single"/>
    </w:rPr>
  </w:style>
  <w:style w:type="paragraph" w:customStyle="1" w:styleId="ToRDoubleline">
    <w:name w:val="ToR Double line"/>
    <w:basedOn w:val="Normal"/>
    <w:pPr>
      <w:pBdr>
        <w:bottom w:val="double" w:sz="4" w:space="1" w:color="auto"/>
      </w:pBdr>
    </w:pPr>
  </w:style>
  <w:style w:type="paragraph" w:styleId="Title">
    <w:name w:val="Title"/>
    <w:basedOn w:val="Normal"/>
    <w:qFormat/>
    <w:pPr>
      <w:jc w:val="center"/>
    </w:pPr>
    <w:rPr>
      <w:b/>
      <w:sz w:val="28"/>
    </w:rPr>
  </w:style>
  <w:style w:type="paragraph" w:styleId="Subtitle">
    <w:name w:val="Subtitle"/>
    <w:basedOn w:val="Normal"/>
    <w:qFormat/>
    <w:pPr>
      <w:jc w:val="left"/>
    </w:pPr>
    <w:rPr>
      <w:b/>
      <w:i/>
      <w:sz w:val="28"/>
    </w:rPr>
  </w:style>
  <w:style w:type="paragraph" w:styleId="BodyText2">
    <w:name w:val="Body Text 2"/>
    <w:basedOn w:val="Normal"/>
    <w:pPr>
      <w:jc w:val="center"/>
    </w:pPr>
    <w:rPr>
      <w:b/>
      <w:sz w:val="40"/>
      <w:lang w:val="fr-BE"/>
    </w:rPr>
  </w:style>
  <w:style w:type="paragraph" w:styleId="BalloonText">
    <w:name w:val="Balloon Text"/>
    <w:basedOn w:val="Normal"/>
    <w:semiHidden/>
    <w:rsid w:val="00E6112E"/>
    <w:rPr>
      <w:rFonts w:ascii="Tahoma" w:hAnsi="Tahoma" w:cs="Tahoma"/>
      <w:sz w:val="16"/>
      <w:szCs w:val="16"/>
    </w:rPr>
  </w:style>
  <w:style w:type="table" w:styleId="TableGrid">
    <w:name w:val="Table Grid"/>
    <w:basedOn w:val="TableNormal"/>
    <w:rsid w:val="006E15D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basedOn w:val="DefaultParagraphFont"/>
    <w:link w:val="BodyTextIndent"/>
    <w:rsid w:val="004E7305"/>
    <w:rPr>
      <w:rFonts w:ascii="Times" w:hAnsi="Times"/>
      <w:sz w:val="24"/>
    </w:rPr>
  </w:style>
  <w:style w:type="paragraph" w:styleId="ListParagraph">
    <w:name w:val="List Paragraph"/>
    <w:basedOn w:val="Normal"/>
    <w:link w:val="ListParagraphChar"/>
    <w:uiPriority w:val="34"/>
    <w:qFormat/>
    <w:rsid w:val="00141339"/>
    <w:pPr>
      <w:ind w:left="720"/>
      <w:jc w:val="left"/>
    </w:pPr>
    <w:rPr>
      <w:rFonts w:ascii="Calibri" w:eastAsiaTheme="minorHAnsi" w:hAnsi="Calibri" w:cs="Calibri"/>
      <w:szCs w:val="22"/>
      <w:lang w:eastAsia="en-US"/>
    </w:rPr>
  </w:style>
  <w:style w:type="character" w:styleId="CommentReference">
    <w:name w:val="annotation reference"/>
    <w:basedOn w:val="DefaultParagraphFont"/>
    <w:uiPriority w:val="99"/>
    <w:semiHidden/>
    <w:unhideWhenUsed/>
    <w:rsid w:val="00F971C0"/>
    <w:rPr>
      <w:sz w:val="16"/>
      <w:szCs w:val="16"/>
    </w:rPr>
  </w:style>
  <w:style w:type="paragraph" w:styleId="CommentText">
    <w:name w:val="annotation text"/>
    <w:basedOn w:val="Normal"/>
    <w:link w:val="CommentTextChar"/>
    <w:uiPriority w:val="99"/>
    <w:semiHidden/>
    <w:unhideWhenUsed/>
    <w:rsid w:val="00F971C0"/>
    <w:rPr>
      <w:sz w:val="20"/>
    </w:rPr>
  </w:style>
  <w:style w:type="character" w:customStyle="1" w:styleId="CommentTextChar">
    <w:name w:val="Comment Text Char"/>
    <w:basedOn w:val="DefaultParagraphFont"/>
    <w:link w:val="CommentText"/>
    <w:uiPriority w:val="99"/>
    <w:semiHidden/>
    <w:rsid w:val="00F971C0"/>
  </w:style>
  <w:style w:type="paragraph" w:styleId="CommentSubject">
    <w:name w:val="annotation subject"/>
    <w:basedOn w:val="CommentText"/>
    <w:next w:val="CommentText"/>
    <w:link w:val="CommentSubjectChar"/>
    <w:uiPriority w:val="99"/>
    <w:semiHidden/>
    <w:unhideWhenUsed/>
    <w:rsid w:val="00F971C0"/>
    <w:rPr>
      <w:b/>
      <w:bCs/>
    </w:rPr>
  </w:style>
  <w:style w:type="character" w:customStyle="1" w:styleId="CommentSubjectChar">
    <w:name w:val="Comment Subject Char"/>
    <w:basedOn w:val="CommentTextChar"/>
    <w:link w:val="CommentSubject"/>
    <w:uiPriority w:val="99"/>
    <w:semiHidden/>
    <w:rsid w:val="00F971C0"/>
    <w:rPr>
      <w:b/>
      <w:bCs/>
    </w:rPr>
  </w:style>
  <w:style w:type="character" w:customStyle="1" w:styleId="HeaderChar">
    <w:name w:val="Header Char"/>
    <w:basedOn w:val="DefaultParagraphFont"/>
    <w:link w:val="Header"/>
    <w:uiPriority w:val="99"/>
    <w:rsid w:val="00741B1F"/>
    <w:rPr>
      <w:sz w:val="22"/>
    </w:rPr>
  </w:style>
  <w:style w:type="character" w:customStyle="1" w:styleId="ListParagraphChar">
    <w:name w:val="List Paragraph Char"/>
    <w:link w:val="ListParagraph"/>
    <w:uiPriority w:val="34"/>
    <w:locked/>
    <w:rsid w:val="0073717C"/>
    <w:rPr>
      <w:rFonts w:ascii="Calibri" w:eastAsiaTheme="minorHAnsi" w:hAnsi="Calibri" w:cs="Calibri"/>
      <w:sz w:val="22"/>
      <w:szCs w:val="22"/>
      <w:lang w:eastAsia="en-US"/>
    </w:rPr>
  </w:style>
  <w:style w:type="paragraph" w:styleId="NoSpacing">
    <w:name w:val="No Spacing"/>
    <w:uiPriority w:val="1"/>
    <w:qFormat/>
    <w:rsid w:val="009845D1"/>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082346">
      <w:bodyDiv w:val="1"/>
      <w:marLeft w:val="0"/>
      <w:marRight w:val="0"/>
      <w:marTop w:val="0"/>
      <w:marBottom w:val="0"/>
      <w:divBdr>
        <w:top w:val="none" w:sz="0" w:space="0" w:color="auto"/>
        <w:left w:val="none" w:sz="0" w:space="0" w:color="auto"/>
        <w:bottom w:val="none" w:sz="0" w:space="0" w:color="auto"/>
        <w:right w:val="none" w:sz="0" w:space="0" w:color="auto"/>
      </w:divBdr>
    </w:div>
    <w:div w:id="238179571">
      <w:bodyDiv w:val="1"/>
      <w:marLeft w:val="0"/>
      <w:marRight w:val="0"/>
      <w:marTop w:val="0"/>
      <w:marBottom w:val="0"/>
      <w:divBdr>
        <w:top w:val="none" w:sz="0" w:space="0" w:color="auto"/>
        <w:left w:val="none" w:sz="0" w:space="0" w:color="auto"/>
        <w:bottom w:val="none" w:sz="0" w:space="0" w:color="auto"/>
        <w:right w:val="none" w:sz="0" w:space="0" w:color="auto"/>
      </w:divBdr>
    </w:div>
    <w:div w:id="281960285">
      <w:bodyDiv w:val="1"/>
      <w:marLeft w:val="0"/>
      <w:marRight w:val="0"/>
      <w:marTop w:val="0"/>
      <w:marBottom w:val="0"/>
      <w:divBdr>
        <w:top w:val="none" w:sz="0" w:space="0" w:color="auto"/>
        <w:left w:val="none" w:sz="0" w:space="0" w:color="auto"/>
        <w:bottom w:val="none" w:sz="0" w:space="0" w:color="auto"/>
        <w:right w:val="none" w:sz="0" w:space="0" w:color="auto"/>
      </w:divBdr>
    </w:div>
    <w:div w:id="491724184">
      <w:bodyDiv w:val="1"/>
      <w:marLeft w:val="0"/>
      <w:marRight w:val="0"/>
      <w:marTop w:val="0"/>
      <w:marBottom w:val="0"/>
      <w:divBdr>
        <w:top w:val="none" w:sz="0" w:space="0" w:color="auto"/>
        <w:left w:val="none" w:sz="0" w:space="0" w:color="auto"/>
        <w:bottom w:val="none" w:sz="0" w:space="0" w:color="auto"/>
        <w:right w:val="none" w:sz="0" w:space="0" w:color="auto"/>
      </w:divBdr>
      <w:divsChild>
        <w:div w:id="1445803351">
          <w:marLeft w:val="115"/>
          <w:marRight w:val="0"/>
          <w:marTop w:val="0"/>
          <w:marBottom w:val="0"/>
          <w:divBdr>
            <w:top w:val="none" w:sz="0" w:space="0" w:color="auto"/>
            <w:left w:val="none" w:sz="0" w:space="0" w:color="auto"/>
            <w:bottom w:val="none" w:sz="0" w:space="0" w:color="auto"/>
            <w:right w:val="none" w:sz="0" w:space="0" w:color="auto"/>
          </w:divBdr>
        </w:div>
        <w:div w:id="1090586534">
          <w:marLeft w:val="115"/>
          <w:marRight w:val="0"/>
          <w:marTop w:val="0"/>
          <w:marBottom w:val="0"/>
          <w:divBdr>
            <w:top w:val="none" w:sz="0" w:space="0" w:color="auto"/>
            <w:left w:val="none" w:sz="0" w:space="0" w:color="auto"/>
            <w:bottom w:val="none" w:sz="0" w:space="0" w:color="auto"/>
            <w:right w:val="none" w:sz="0" w:space="0" w:color="auto"/>
          </w:divBdr>
        </w:div>
        <w:div w:id="532696479">
          <w:marLeft w:val="115"/>
          <w:marRight w:val="0"/>
          <w:marTop w:val="0"/>
          <w:marBottom w:val="0"/>
          <w:divBdr>
            <w:top w:val="none" w:sz="0" w:space="0" w:color="auto"/>
            <w:left w:val="none" w:sz="0" w:space="0" w:color="auto"/>
            <w:bottom w:val="none" w:sz="0" w:space="0" w:color="auto"/>
            <w:right w:val="none" w:sz="0" w:space="0" w:color="auto"/>
          </w:divBdr>
        </w:div>
        <w:div w:id="810248988">
          <w:marLeft w:val="115"/>
          <w:marRight w:val="0"/>
          <w:marTop w:val="0"/>
          <w:marBottom w:val="0"/>
          <w:divBdr>
            <w:top w:val="none" w:sz="0" w:space="0" w:color="auto"/>
            <w:left w:val="none" w:sz="0" w:space="0" w:color="auto"/>
            <w:bottom w:val="none" w:sz="0" w:space="0" w:color="auto"/>
            <w:right w:val="none" w:sz="0" w:space="0" w:color="auto"/>
          </w:divBdr>
        </w:div>
        <w:div w:id="309478066">
          <w:marLeft w:val="115"/>
          <w:marRight w:val="0"/>
          <w:marTop w:val="0"/>
          <w:marBottom w:val="0"/>
          <w:divBdr>
            <w:top w:val="none" w:sz="0" w:space="0" w:color="auto"/>
            <w:left w:val="none" w:sz="0" w:space="0" w:color="auto"/>
            <w:bottom w:val="none" w:sz="0" w:space="0" w:color="auto"/>
            <w:right w:val="none" w:sz="0" w:space="0" w:color="auto"/>
          </w:divBdr>
        </w:div>
        <w:div w:id="1554348726">
          <w:marLeft w:val="115"/>
          <w:marRight w:val="0"/>
          <w:marTop w:val="0"/>
          <w:marBottom w:val="0"/>
          <w:divBdr>
            <w:top w:val="none" w:sz="0" w:space="0" w:color="auto"/>
            <w:left w:val="none" w:sz="0" w:space="0" w:color="auto"/>
            <w:bottom w:val="none" w:sz="0" w:space="0" w:color="auto"/>
            <w:right w:val="none" w:sz="0" w:space="0" w:color="auto"/>
          </w:divBdr>
        </w:div>
        <w:div w:id="2041397105">
          <w:marLeft w:val="115"/>
          <w:marRight w:val="0"/>
          <w:marTop w:val="0"/>
          <w:marBottom w:val="0"/>
          <w:divBdr>
            <w:top w:val="none" w:sz="0" w:space="0" w:color="auto"/>
            <w:left w:val="none" w:sz="0" w:space="0" w:color="auto"/>
            <w:bottom w:val="none" w:sz="0" w:space="0" w:color="auto"/>
            <w:right w:val="none" w:sz="0" w:space="0" w:color="auto"/>
          </w:divBdr>
        </w:div>
        <w:div w:id="2040541778">
          <w:marLeft w:val="115"/>
          <w:marRight w:val="0"/>
          <w:marTop w:val="0"/>
          <w:marBottom w:val="0"/>
          <w:divBdr>
            <w:top w:val="none" w:sz="0" w:space="0" w:color="auto"/>
            <w:left w:val="none" w:sz="0" w:space="0" w:color="auto"/>
            <w:bottom w:val="none" w:sz="0" w:space="0" w:color="auto"/>
            <w:right w:val="none" w:sz="0" w:space="0" w:color="auto"/>
          </w:divBdr>
        </w:div>
      </w:divsChild>
    </w:div>
    <w:div w:id="503667111">
      <w:bodyDiv w:val="1"/>
      <w:marLeft w:val="0"/>
      <w:marRight w:val="0"/>
      <w:marTop w:val="0"/>
      <w:marBottom w:val="0"/>
      <w:divBdr>
        <w:top w:val="none" w:sz="0" w:space="0" w:color="auto"/>
        <w:left w:val="none" w:sz="0" w:space="0" w:color="auto"/>
        <w:bottom w:val="none" w:sz="0" w:space="0" w:color="auto"/>
        <w:right w:val="none" w:sz="0" w:space="0" w:color="auto"/>
      </w:divBdr>
      <w:divsChild>
        <w:div w:id="721900978">
          <w:marLeft w:val="446"/>
          <w:marRight w:val="0"/>
          <w:marTop w:val="0"/>
          <w:marBottom w:val="0"/>
          <w:divBdr>
            <w:top w:val="none" w:sz="0" w:space="0" w:color="auto"/>
            <w:left w:val="none" w:sz="0" w:space="0" w:color="auto"/>
            <w:bottom w:val="none" w:sz="0" w:space="0" w:color="auto"/>
            <w:right w:val="none" w:sz="0" w:space="0" w:color="auto"/>
          </w:divBdr>
        </w:div>
      </w:divsChild>
    </w:div>
    <w:div w:id="1024670952">
      <w:bodyDiv w:val="1"/>
      <w:marLeft w:val="0"/>
      <w:marRight w:val="0"/>
      <w:marTop w:val="0"/>
      <w:marBottom w:val="0"/>
      <w:divBdr>
        <w:top w:val="none" w:sz="0" w:space="0" w:color="auto"/>
        <w:left w:val="none" w:sz="0" w:space="0" w:color="auto"/>
        <w:bottom w:val="none" w:sz="0" w:space="0" w:color="auto"/>
        <w:right w:val="none" w:sz="0" w:space="0" w:color="auto"/>
      </w:divBdr>
    </w:div>
    <w:div w:id="1141995604">
      <w:bodyDiv w:val="1"/>
      <w:marLeft w:val="0"/>
      <w:marRight w:val="0"/>
      <w:marTop w:val="0"/>
      <w:marBottom w:val="0"/>
      <w:divBdr>
        <w:top w:val="none" w:sz="0" w:space="0" w:color="auto"/>
        <w:left w:val="none" w:sz="0" w:space="0" w:color="auto"/>
        <w:bottom w:val="none" w:sz="0" w:space="0" w:color="auto"/>
        <w:right w:val="none" w:sz="0" w:space="0" w:color="auto"/>
      </w:divBdr>
      <w:divsChild>
        <w:div w:id="559361093">
          <w:marLeft w:val="274"/>
          <w:marRight w:val="0"/>
          <w:marTop w:val="0"/>
          <w:marBottom w:val="0"/>
          <w:divBdr>
            <w:top w:val="none" w:sz="0" w:space="0" w:color="auto"/>
            <w:left w:val="none" w:sz="0" w:space="0" w:color="auto"/>
            <w:bottom w:val="none" w:sz="0" w:space="0" w:color="auto"/>
            <w:right w:val="none" w:sz="0" w:space="0" w:color="auto"/>
          </w:divBdr>
        </w:div>
        <w:div w:id="1646351545">
          <w:marLeft w:val="274"/>
          <w:marRight w:val="0"/>
          <w:marTop w:val="0"/>
          <w:marBottom w:val="0"/>
          <w:divBdr>
            <w:top w:val="none" w:sz="0" w:space="0" w:color="auto"/>
            <w:left w:val="none" w:sz="0" w:space="0" w:color="auto"/>
            <w:bottom w:val="none" w:sz="0" w:space="0" w:color="auto"/>
            <w:right w:val="none" w:sz="0" w:space="0" w:color="auto"/>
          </w:divBdr>
        </w:div>
        <w:div w:id="73938027">
          <w:marLeft w:val="274"/>
          <w:marRight w:val="0"/>
          <w:marTop w:val="0"/>
          <w:marBottom w:val="0"/>
          <w:divBdr>
            <w:top w:val="none" w:sz="0" w:space="0" w:color="auto"/>
            <w:left w:val="none" w:sz="0" w:space="0" w:color="auto"/>
            <w:bottom w:val="none" w:sz="0" w:space="0" w:color="auto"/>
            <w:right w:val="none" w:sz="0" w:space="0" w:color="auto"/>
          </w:divBdr>
        </w:div>
        <w:div w:id="1933125746">
          <w:marLeft w:val="274"/>
          <w:marRight w:val="0"/>
          <w:marTop w:val="0"/>
          <w:marBottom w:val="0"/>
          <w:divBdr>
            <w:top w:val="none" w:sz="0" w:space="0" w:color="auto"/>
            <w:left w:val="none" w:sz="0" w:space="0" w:color="auto"/>
            <w:bottom w:val="none" w:sz="0" w:space="0" w:color="auto"/>
            <w:right w:val="none" w:sz="0" w:space="0" w:color="auto"/>
          </w:divBdr>
        </w:div>
        <w:div w:id="889346619">
          <w:marLeft w:val="274"/>
          <w:marRight w:val="0"/>
          <w:marTop w:val="0"/>
          <w:marBottom w:val="0"/>
          <w:divBdr>
            <w:top w:val="none" w:sz="0" w:space="0" w:color="auto"/>
            <w:left w:val="none" w:sz="0" w:space="0" w:color="auto"/>
            <w:bottom w:val="none" w:sz="0" w:space="0" w:color="auto"/>
            <w:right w:val="none" w:sz="0" w:space="0" w:color="auto"/>
          </w:divBdr>
        </w:div>
        <w:div w:id="1852446229">
          <w:marLeft w:val="274"/>
          <w:marRight w:val="0"/>
          <w:marTop w:val="0"/>
          <w:marBottom w:val="0"/>
          <w:divBdr>
            <w:top w:val="none" w:sz="0" w:space="0" w:color="auto"/>
            <w:left w:val="none" w:sz="0" w:space="0" w:color="auto"/>
            <w:bottom w:val="none" w:sz="0" w:space="0" w:color="auto"/>
            <w:right w:val="none" w:sz="0" w:space="0" w:color="auto"/>
          </w:divBdr>
        </w:div>
        <w:div w:id="537863509">
          <w:marLeft w:val="274"/>
          <w:marRight w:val="0"/>
          <w:marTop w:val="0"/>
          <w:marBottom w:val="0"/>
          <w:divBdr>
            <w:top w:val="none" w:sz="0" w:space="0" w:color="auto"/>
            <w:left w:val="none" w:sz="0" w:space="0" w:color="auto"/>
            <w:bottom w:val="none" w:sz="0" w:space="0" w:color="auto"/>
            <w:right w:val="none" w:sz="0" w:space="0" w:color="auto"/>
          </w:divBdr>
        </w:div>
        <w:div w:id="395401988">
          <w:marLeft w:val="274"/>
          <w:marRight w:val="0"/>
          <w:marTop w:val="0"/>
          <w:marBottom w:val="0"/>
          <w:divBdr>
            <w:top w:val="none" w:sz="0" w:space="0" w:color="auto"/>
            <w:left w:val="none" w:sz="0" w:space="0" w:color="auto"/>
            <w:bottom w:val="none" w:sz="0" w:space="0" w:color="auto"/>
            <w:right w:val="none" w:sz="0" w:space="0" w:color="auto"/>
          </w:divBdr>
        </w:div>
        <w:div w:id="747650164">
          <w:marLeft w:val="274"/>
          <w:marRight w:val="0"/>
          <w:marTop w:val="0"/>
          <w:marBottom w:val="0"/>
          <w:divBdr>
            <w:top w:val="none" w:sz="0" w:space="0" w:color="auto"/>
            <w:left w:val="none" w:sz="0" w:space="0" w:color="auto"/>
            <w:bottom w:val="none" w:sz="0" w:space="0" w:color="auto"/>
            <w:right w:val="none" w:sz="0" w:space="0" w:color="auto"/>
          </w:divBdr>
        </w:div>
        <w:div w:id="1586184977">
          <w:marLeft w:val="274"/>
          <w:marRight w:val="0"/>
          <w:marTop w:val="0"/>
          <w:marBottom w:val="0"/>
          <w:divBdr>
            <w:top w:val="none" w:sz="0" w:space="0" w:color="auto"/>
            <w:left w:val="none" w:sz="0" w:space="0" w:color="auto"/>
            <w:bottom w:val="none" w:sz="0" w:space="0" w:color="auto"/>
            <w:right w:val="none" w:sz="0" w:space="0" w:color="auto"/>
          </w:divBdr>
        </w:div>
      </w:divsChild>
    </w:div>
    <w:div w:id="1257791500">
      <w:bodyDiv w:val="1"/>
      <w:marLeft w:val="0"/>
      <w:marRight w:val="0"/>
      <w:marTop w:val="0"/>
      <w:marBottom w:val="0"/>
      <w:divBdr>
        <w:top w:val="none" w:sz="0" w:space="0" w:color="auto"/>
        <w:left w:val="none" w:sz="0" w:space="0" w:color="auto"/>
        <w:bottom w:val="none" w:sz="0" w:space="0" w:color="auto"/>
        <w:right w:val="none" w:sz="0" w:space="0" w:color="auto"/>
      </w:divBdr>
    </w:div>
    <w:div w:id="1571500587">
      <w:bodyDiv w:val="1"/>
      <w:marLeft w:val="0"/>
      <w:marRight w:val="0"/>
      <w:marTop w:val="0"/>
      <w:marBottom w:val="0"/>
      <w:divBdr>
        <w:top w:val="none" w:sz="0" w:space="0" w:color="auto"/>
        <w:left w:val="none" w:sz="0" w:space="0" w:color="auto"/>
        <w:bottom w:val="none" w:sz="0" w:space="0" w:color="auto"/>
        <w:right w:val="none" w:sz="0" w:space="0" w:color="auto"/>
      </w:divBdr>
      <w:divsChild>
        <w:div w:id="254215885">
          <w:marLeft w:val="446"/>
          <w:marRight w:val="0"/>
          <w:marTop w:val="0"/>
          <w:marBottom w:val="0"/>
          <w:divBdr>
            <w:top w:val="none" w:sz="0" w:space="0" w:color="auto"/>
            <w:left w:val="none" w:sz="0" w:space="0" w:color="auto"/>
            <w:bottom w:val="none" w:sz="0" w:space="0" w:color="auto"/>
            <w:right w:val="none" w:sz="0" w:space="0" w:color="auto"/>
          </w:divBdr>
        </w:div>
      </w:divsChild>
    </w:div>
    <w:div w:id="1690062659">
      <w:bodyDiv w:val="1"/>
      <w:marLeft w:val="0"/>
      <w:marRight w:val="0"/>
      <w:marTop w:val="0"/>
      <w:marBottom w:val="0"/>
      <w:divBdr>
        <w:top w:val="none" w:sz="0" w:space="0" w:color="auto"/>
        <w:left w:val="none" w:sz="0" w:space="0" w:color="auto"/>
        <w:bottom w:val="none" w:sz="0" w:space="0" w:color="auto"/>
        <w:right w:val="none" w:sz="0" w:space="0" w:color="auto"/>
      </w:divBdr>
      <w:divsChild>
        <w:div w:id="499389407">
          <w:marLeft w:val="446"/>
          <w:marRight w:val="0"/>
          <w:marTop w:val="0"/>
          <w:marBottom w:val="0"/>
          <w:divBdr>
            <w:top w:val="none" w:sz="0" w:space="0" w:color="auto"/>
            <w:left w:val="none" w:sz="0" w:space="0" w:color="auto"/>
            <w:bottom w:val="none" w:sz="0" w:space="0" w:color="auto"/>
            <w:right w:val="none" w:sz="0" w:space="0" w:color="auto"/>
          </w:divBdr>
        </w:div>
      </w:divsChild>
    </w:div>
    <w:div w:id="1724987640">
      <w:bodyDiv w:val="1"/>
      <w:marLeft w:val="0"/>
      <w:marRight w:val="0"/>
      <w:marTop w:val="0"/>
      <w:marBottom w:val="0"/>
      <w:divBdr>
        <w:top w:val="none" w:sz="0" w:space="0" w:color="auto"/>
        <w:left w:val="none" w:sz="0" w:space="0" w:color="auto"/>
        <w:bottom w:val="none" w:sz="0" w:space="0" w:color="auto"/>
        <w:right w:val="none" w:sz="0" w:space="0" w:color="auto"/>
      </w:divBdr>
      <w:divsChild>
        <w:div w:id="1063484687">
          <w:marLeft w:val="446"/>
          <w:marRight w:val="0"/>
          <w:marTop w:val="0"/>
          <w:marBottom w:val="0"/>
          <w:divBdr>
            <w:top w:val="none" w:sz="0" w:space="0" w:color="auto"/>
            <w:left w:val="none" w:sz="0" w:space="0" w:color="auto"/>
            <w:bottom w:val="none" w:sz="0" w:space="0" w:color="auto"/>
            <w:right w:val="none" w:sz="0" w:space="0" w:color="auto"/>
          </w:divBdr>
        </w:div>
      </w:divsChild>
    </w:div>
    <w:div w:id="1810829164">
      <w:bodyDiv w:val="1"/>
      <w:marLeft w:val="0"/>
      <w:marRight w:val="0"/>
      <w:marTop w:val="0"/>
      <w:marBottom w:val="0"/>
      <w:divBdr>
        <w:top w:val="none" w:sz="0" w:space="0" w:color="auto"/>
        <w:left w:val="none" w:sz="0" w:space="0" w:color="auto"/>
        <w:bottom w:val="none" w:sz="0" w:space="0" w:color="auto"/>
        <w:right w:val="none" w:sz="0" w:space="0" w:color="auto"/>
      </w:divBdr>
      <w:divsChild>
        <w:div w:id="1388068157">
          <w:marLeft w:val="446"/>
          <w:marRight w:val="0"/>
          <w:marTop w:val="0"/>
          <w:marBottom w:val="0"/>
          <w:divBdr>
            <w:top w:val="none" w:sz="0" w:space="0" w:color="auto"/>
            <w:left w:val="none" w:sz="0" w:space="0" w:color="auto"/>
            <w:bottom w:val="none" w:sz="0" w:space="0" w:color="auto"/>
            <w:right w:val="none" w:sz="0" w:space="0" w:color="auto"/>
          </w:divBdr>
        </w:div>
      </w:divsChild>
    </w:div>
    <w:div w:id="1853301665">
      <w:bodyDiv w:val="1"/>
      <w:marLeft w:val="0"/>
      <w:marRight w:val="0"/>
      <w:marTop w:val="0"/>
      <w:marBottom w:val="0"/>
      <w:divBdr>
        <w:top w:val="none" w:sz="0" w:space="0" w:color="auto"/>
        <w:left w:val="none" w:sz="0" w:space="0" w:color="auto"/>
        <w:bottom w:val="none" w:sz="0" w:space="0" w:color="auto"/>
        <w:right w:val="none" w:sz="0" w:space="0" w:color="auto"/>
      </w:divBdr>
    </w:div>
    <w:div w:id="1928154323">
      <w:bodyDiv w:val="1"/>
      <w:marLeft w:val="0"/>
      <w:marRight w:val="0"/>
      <w:marTop w:val="0"/>
      <w:marBottom w:val="0"/>
      <w:divBdr>
        <w:top w:val="none" w:sz="0" w:space="0" w:color="auto"/>
        <w:left w:val="none" w:sz="0" w:space="0" w:color="auto"/>
        <w:bottom w:val="none" w:sz="0" w:space="0" w:color="auto"/>
        <w:right w:val="none" w:sz="0" w:space="0" w:color="auto"/>
      </w:divBdr>
    </w:div>
    <w:div w:id="2039113325">
      <w:bodyDiv w:val="1"/>
      <w:marLeft w:val="0"/>
      <w:marRight w:val="0"/>
      <w:marTop w:val="0"/>
      <w:marBottom w:val="0"/>
      <w:divBdr>
        <w:top w:val="none" w:sz="0" w:space="0" w:color="auto"/>
        <w:left w:val="none" w:sz="0" w:space="0" w:color="auto"/>
        <w:bottom w:val="none" w:sz="0" w:space="0" w:color="auto"/>
        <w:right w:val="none" w:sz="0" w:space="0" w:color="auto"/>
      </w:divBdr>
      <w:divsChild>
        <w:div w:id="893545630">
          <w:marLeft w:val="446"/>
          <w:marRight w:val="0"/>
          <w:marTop w:val="0"/>
          <w:marBottom w:val="0"/>
          <w:divBdr>
            <w:top w:val="none" w:sz="0" w:space="0" w:color="auto"/>
            <w:left w:val="none" w:sz="0" w:space="0" w:color="auto"/>
            <w:bottom w:val="none" w:sz="0" w:space="0" w:color="auto"/>
            <w:right w:val="none" w:sz="0" w:space="0" w:color="auto"/>
          </w:divBdr>
        </w:div>
        <w:div w:id="473253299">
          <w:marLeft w:val="446"/>
          <w:marRight w:val="0"/>
          <w:marTop w:val="0"/>
          <w:marBottom w:val="0"/>
          <w:divBdr>
            <w:top w:val="none" w:sz="0" w:space="0" w:color="auto"/>
            <w:left w:val="none" w:sz="0" w:space="0" w:color="auto"/>
            <w:bottom w:val="none" w:sz="0" w:space="0" w:color="auto"/>
            <w:right w:val="none" w:sz="0" w:space="0" w:color="auto"/>
          </w:divBdr>
        </w:div>
      </w:divsChild>
    </w:div>
    <w:div w:id="2111655627">
      <w:bodyDiv w:val="1"/>
      <w:marLeft w:val="0"/>
      <w:marRight w:val="0"/>
      <w:marTop w:val="0"/>
      <w:marBottom w:val="0"/>
      <w:divBdr>
        <w:top w:val="none" w:sz="0" w:space="0" w:color="auto"/>
        <w:left w:val="none" w:sz="0" w:space="0" w:color="auto"/>
        <w:bottom w:val="none" w:sz="0" w:space="0" w:color="auto"/>
        <w:right w:val="none" w:sz="0" w:space="0" w:color="auto"/>
      </w:divBdr>
      <w:divsChild>
        <w:div w:id="581187848">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76047E53-7BA2-4367-8018-FBF14B5A5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918</Words>
  <Characters>5237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ENERGY POLICY AND MARKET REGULATION</vt:lpstr>
    </vt:vector>
  </TitlesOfParts>
  <Company>Eurelectric</Company>
  <LinksUpToDate>false</LinksUpToDate>
  <CharactersWithSpaces>6143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ENERGY POLICY AND MARKET REGULATION</dc:title>
  <dc:creator>Aura CARAMIZARU</dc:creator>
  <cp:lastModifiedBy>Paul WILCZEK</cp:lastModifiedBy>
  <cp:revision>30</cp:revision>
  <cp:lastPrinted>2016-06-07T12:12:00Z</cp:lastPrinted>
  <dcterms:created xsi:type="dcterms:W3CDTF">2018-04-20T08:26:00Z</dcterms:created>
  <dcterms:modified xsi:type="dcterms:W3CDTF">2018-06-11T21:05:00Z</dcterms:modified>
</cp:coreProperties>
</file>